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8B471" w14:textId="77777777" w:rsidR="00877825" w:rsidRDefault="00877825" w:rsidP="00877825">
      <w:pPr>
        <w:jc w:val="center"/>
        <w:rPr>
          <w:b/>
          <w:bCs/>
          <w:sz w:val="21"/>
          <w:szCs w:val="21"/>
          <w:u w:val="single"/>
        </w:rPr>
      </w:pPr>
      <w:r w:rsidRPr="00E46E1C">
        <w:rPr>
          <w:b/>
          <w:bCs/>
          <w:noProof/>
          <w:sz w:val="21"/>
          <w:szCs w:val="21"/>
        </w:rPr>
        <w:drawing>
          <wp:inline distT="0" distB="0" distL="0" distR="0" wp14:anchorId="1CE2BF43" wp14:editId="41D03A71">
            <wp:extent cx="95250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C_40b.jpg"/>
                    <pic:cNvPicPr/>
                  </pic:nvPicPr>
                  <pic:blipFill>
                    <a:blip r:embed="rId7">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1CCF2241" w14:textId="77777777" w:rsidR="00877825" w:rsidRDefault="00877825" w:rsidP="00877825">
      <w:pPr>
        <w:rPr>
          <w:b/>
          <w:bCs/>
          <w:sz w:val="21"/>
          <w:szCs w:val="21"/>
          <w:u w:val="single"/>
        </w:rPr>
      </w:pPr>
    </w:p>
    <w:p w14:paraId="79174D1A" w14:textId="77777777" w:rsidR="00877825" w:rsidRPr="00AB0AC2" w:rsidRDefault="00877825" w:rsidP="00877825">
      <w:pPr>
        <w:jc w:val="center"/>
        <w:rPr>
          <w:b/>
          <w:bCs/>
        </w:rPr>
      </w:pPr>
      <w:r w:rsidRPr="00AB0AC2">
        <w:rPr>
          <w:b/>
          <w:bCs/>
        </w:rPr>
        <w:t xml:space="preserve">“The Booking Problem” </w:t>
      </w:r>
    </w:p>
    <w:p w14:paraId="2FB0636B" w14:textId="643537E4" w:rsidR="00877825" w:rsidRPr="00AB0AC2" w:rsidRDefault="00877825" w:rsidP="00877825">
      <w:pPr>
        <w:jc w:val="center"/>
        <w:rPr>
          <w:b/>
          <w:bCs/>
        </w:rPr>
      </w:pPr>
      <w:r w:rsidRPr="00AB0AC2">
        <w:rPr>
          <w:b/>
          <w:bCs/>
        </w:rPr>
        <w:t>The Scottish Government’s Short-Term Let Regulations</w:t>
      </w:r>
    </w:p>
    <w:p w14:paraId="1EF20AD5" w14:textId="77777777" w:rsidR="00AE393F" w:rsidRPr="005A3A35" w:rsidRDefault="00AE393F" w:rsidP="00AE393F">
      <w:pPr>
        <w:jc w:val="center"/>
        <w:rPr>
          <w:b/>
          <w:bCs/>
        </w:rPr>
      </w:pPr>
    </w:p>
    <w:p w14:paraId="00E259B9" w14:textId="1D41D9E8" w:rsidR="006563C4" w:rsidRDefault="006563C4" w:rsidP="005A3A35">
      <w:pPr>
        <w:jc w:val="center"/>
        <w:rPr>
          <w:b/>
          <w:bCs/>
          <w:sz w:val="21"/>
          <w:szCs w:val="21"/>
        </w:rPr>
      </w:pPr>
      <w:r w:rsidRPr="005A3A35">
        <w:rPr>
          <w:b/>
          <w:bCs/>
        </w:rPr>
        <w:t>Why the licensing provisions of The Civic Government (Scotland) Act 1982 (Licensing of Short-term Lets) Order 2021 (the ‘Order”) will seriously damage the Scottish Tourist Industry, and local economies, through closure of self-catering businesses</w:t>
      </w:r>
      <w:r w:rsidR="00281B48" w:rsidRPr="005A3A35">
        <w:rPr>
          <w:b/>
          <w:bCs/>
        </w:rPr>
        <w:t>.</w:t>
      </w:r>
    </w:p>
    <w:p w14:paraId="02515E98" w14:textId="06A6A15F" w:rsidR="005A3A35" w:rsidRDefault="005A3A35" w:rsidP="005A3A35">
      <w:pPr>
        <w:jc w:val="center"/>
        <w:rPr>
          <w:b/>
          <w:bCs/>
          <w:sz w:val="21"/>
          <w:szCs w:val="21"/>
        </w:rPr>
      </w:pPr>
    </w:p>
    <w:p w14:paraId="5293F2A4" w14:textId="77777777" w:rsidR="005A3A35" w:rsidRPr="005A3A35" w:rsidRDefault="005A3A35" w:rsidP="005A3A35">
      <w:pPr>
        <w:jc w:val="center"/>
        <w:rPr>
          <w:b/>
          <w:bCs/>
          <w:sz w:val="21"/>
          <w:szCs w:val="21"/>
        </w:rPr>
      </w:pPr>
      <w:r w:rsidRPr="005A3A35">
        <w:rPr>
          <w:b/>
          <w:bCs/>
          <w:sz w:val="21"/>
          <w:szCs w:val="21"/>
        </w:rPr>
        <w:t xml:space="preserve">A Note from the </w:t>
      </w:r>
      <w:r w:rsidRPr="005A3A35">
        <w:rPr>
          <w:b/>
          <w:sz w:val="21"/>
          <w:szCs w:val="21"/>
        </w:rPr>
        <w:t>Association of Scotland’s Self-Caterers</w:t>
      </w:r>
    </w:p>
    <w:p w14:paraId="41897D2D" w14:textId="77777777" w:rsidR="005A3A35" w:rsidRPr="00FF73C1" w:rsidRDefault="005A3A35" w:rsidP="005A3A35">
      <w:pPr>
        <w:jc w:val="center"/>
        <w:rPr>
          <w:b/>
          <w:bCs/>
          <w:sz w:val="21"/>
          <w:szCs w:val="21"/>
        </w:rPr>
      </w:pPr>
    </w:p>
    <w:p w14:paraId="392D13D6" w14:textId="77777777" w:rsidR="006563C4" w:rsidRPr="008D343C" w:rsidRDefault="006563C4" w:rsidP="006563C4">
      <w:pPr>
        <w:rPr>
          <w:rFonts w:eastAsia="Times New Roman" w:cs="Calibri"/>
          <w:color w:val="000000" w:themeColor="text1"/>
          <w:sz w:val="21"/>
          <w:szCs w:val="21"/>
        </w:rPr>
      </w:pPr>
    </w:p>
    <w:p w14:paraId="50FE7E75" w14:textId="77777777" w:rsidR="009C2615" w:rsidRPr="008D343C" w:rsidRDefault="009C2615" w:rsidP="00374979">
      <w:pPr>
        <w:spacing w:after="160" w:line="259" w:lineRule="auto"/>
        <w:rPr>
          <w:rFonts w:eastAsia="Times New Roman" w:cs="Calibri"/>
          <w:b/>
          <w:color w:val="000000" w:themeColor="text1"/>
          <w:sz w:val="21"/>
          <w:szCs w:val="21"/>
          <w:u w:val="single"/>
        </w:rPr>
      </w:pPr>
      <w:r w:rsidRPr="008D343C">
        <w:rPr>
          <w:rFonts w:eastAsia="Times New Roman" w:cs="Calibri"/>
          <w:b/>
          <w:color w:val="000000" w:themeColor="text1"/>
          <w:sz w:val="21"/>
          <w:szCs w:val="21"/>
          <w:u w:val="single"/>
        </w:rPr>
        <w:t>OVERVIEW</w:t>
      </w:r>
    </w:p>
    <w:p w14:paraId="740BB7DF" w14:textId="64F61E8A" w:rsidR="00374979" w:rsidRPr="008D343C" w:rsidRDefault="00374979" w:rsidP="00374979">
      <w:pPr>
        <w:spacing w:after="160" w:line="259" w:lineRule="auto"/>
        <w:rPr>
          <w:rFonts w:eastAsia="Times New Roman" w:cs="Calibri"/>
          <w:color w:val="000000" w:themeColor="text1"/>
          <w:sz w:val="21"/>
          <w:szCs w:val="21"/>
        </w:rPr>
      </w:pPr>
      <w:r w:rsidRPr="008D343C">
        <w:rPr>
          <w:rFonts w:eastAsia="Times New Roman" w:cs="Calibri"/>
          <w:color w:val="000000" w:themeColor="text1"/>
          <w:sz w:val="21"/>
          <w:szCs w:val="21"/>
        </w:rPr>
        <w:t xml:space="preserve">The commercial reality is that guests will simply not book if their bookings are conditional and subject to a term between owner and guest that says the owner can cancel the booking if they cannot either obtain or renew a licence. </w:t>
      </w:r>
    </w:p>
    <w:p w14:paraId="38F6D73D" w14:textId="59068908" w:rsidR="009C2615" w:rsidRPr="008D343C" w:rsidRDefault="00CC3E60" w:rsidP="00454CCB">
      <w:pPr>
        <w:spacing w:after="160" w:line="259" w:lineRule="auto"/>
        <w:rPr>
          <w:rFonts w:eastAsia="Times New Roman" w:cs="Calibri"/>
          <w:color w:val="000000" w:themeColor="text1"/>
          <w:sz w:val="21"/>
          <w:szCs w:val="21"/>
        </w:rPr>
      </w:pPr>
      <w:r w:rsidRPr="008D343C">
        <w:rPr>
          <w:rFonts w:eastAsia="Times New Roman" w:cs="Calibri"/>
          <w:color w:val="000000" w:themeColor="text1"/>
          <w:sz w:val="21"/>
          <w:szCs w:val="21"/>
        </w:rPr>
        <w:t xml:space="preserve">Kevin Stewart MSP, Minster for Local Government, Housing and Planning, outlined in a letter of 11 Dec 2020 letter to Willie Rennie MSP: </w:t>
      </w:r>
      <w:r w:rsidR="00374979" w:rsidRPr="008D343C">
        <w:rPr>
          <w:rFonts w:eastAsia="Times New Roman" w:cs="Calibri"/>
          <w:color w:val="000000" w:themeColor="text1"/>
          <w:sz w:val="21"/>
          <w:szCs w:val="21"/>
        </w:rPr>
        <w:t>“With regard to the handling of bookings, please see paragraph 7.15 of the consultation report. We would expect the position in respect of refunds etc. for future bookings affected by refusal, suspension or revocation of a licence to be covered by booking terms and conditions in the same way as any other scenario in which the accommodation becomes unexpectedly unavailable, such as through fire damage or flood”</w:t>
      </w:r>
      <w:r w:rsidRPr="008D343C">
        <w:rPr>
          <w:rFonts w:eastAsia="Times New Roman" w:cs="Calibri"/>
          <w:color w:val="000000" w:themeColor="text1"/>
          <w:sz w:val="21"/>
          <w:szCs w:val="21"/>
        </w:rPr>
        <w:t>.</w:t>
      </w:r>
      <w:r w:rsidR="00374979" w:rsidRPr="008D343C">
        <w:rPr>
          <w:rFonts w:eastAsia="Times New Roman" w:cs="Calibri"/>
          <w:color w:val="000000" w:themeColor="text1"/>
          <w:sz w:val="21"/>
          <w:szCs w:val="21"/>
        </w:rPr>
        <w:t xml:space="preserve"> </w:t>
      </w:r>
    </w:p>
    <w:p w14:paraId="59492E58" w14:textId="5F00182E" w:rsidR="006563C4" w:rsidRPr="008D343C" w:rsidRDefault="006563C4" w:rsidP="006563C4">
      <w:pPr>
        <w:rPr>
          <w:rFonts w:eastAsia="Times New Roman" w:cs="Calibri"/>
          <w:i/>
          <w:color w:val="000000" w:themeColor="text1"/>
          <w:sz w:val="21"/>
          <w:szCs w:val="21"/>
        </w:rPr>
      </w:pPr>
      <w:r w:rsidRPr="008D343C">
        <w:rPr>
          <w:rFonts w:eastAsia="Times New Roman" w:cs="Calibri"/>
          <w:i/>
          <w:color w:val="000000" w:themeColor="text1"/>
          <w:sz w:val="21"/>
          <w:szCs w:val="21"/>
        </w:rPr>
        <w:t>Th</w:t>
      </w:r>
      <w:r w:rsidR="00454CCB" w:rsidRPr="008D343C">
        <w:rPr>
          <w:rFonts w:eastAsia="Times New Roman" w:cs="Calibri"/>
          <w:i/>
          <w:color w:val="000000" w:themeColor="text1"/>
          <w:sz w:val="21"/>
          <w:szCs w:val="21"/>
        </w:rPr>
        <w:t>is</w:t>
      </w:r>
      <w:r w:rsidRPr="008D343C">
        <w:rPr>
          <w:rFonts w:eastAsia="Times New Roman" w:cs="Calibri"/>
          <w:i/>
          <w:color w:val="000000" w:themeColor="text1"/>
          <w:sz w:val="21"/>
          <w:szCs w:val="21"/>
        </w:rPr>
        <w:t xml:space="preserve"> is equivalent to a supermarket saying to a customer</w:t>
      </w:r>
      <w:r w:rsidR="00454CCB" w:rsidRPr="008D343C">
        <w:rPr>
          <w:rFonts w:eastAsia="Times New Roman" w:cs="Calibri"/>
          <w:i/>
          <w:color w:val="000000" w:themeColor="text1"/>
          <w:sz w:val="21"/>
          <w:szCs w:val="21"/>
        </w:rPr>
        <w:t>: “y</w:t>
      </w:r>
      <w:r w:rsidRPr="008D343C">
        <w:rPr>
          <w:rFonts w:eastAsia="Times New Roman" w:cs="Calibri"/>
          <w:i/>
          <w:color w:val="000000" w:themeColor="text1"/>
          <w:sz w:val="21"/>
          <w:szCs w:val="21"/>
        </w:rPr>
        <w:t>ou can put all your shopping in the basket</w:t>
      </w:r>
      <w:r w:rsidR="00454CCB" w:rsidRPr="008D343C">
        <w:rPr>
          <w:rFonts w:eastAsia="Times New Roman" w:cs="Calibri"/>
          <w:i/>
          <w:color w:val="000000" w:themeColor="text1"/>
          <w:sz w:val="21"/>
          <w:szCs w:val="21"/>
        </w:rPr>
        <w:t xml:space="preserve">, </w:t>
      </w:r>
      <w:r w:rsidRPr="008D343C">
        <w:rPr>
          <w:rFonts w:eastAsia="Times New Roman" w:cs="Calibri"/>
          <w:i/>
          <w:color w:val="000000" w:themeColor="text1"/>
          <w:sz w:val="21"/>
          <w:szCs w:val="21"/>
        </w:rPr>
        <w:t xml:space="preserve">but we might decide we are not going to </w:t>
      </w:r>
      <w:r w:rsidR="00454CCB" w:rsidRPr="008D343C">
        <w:rPr>
          <w:rFonts w:eastAsia="Times New Roman" w:cs="Calibri"/>
          <w:i/>
          <w:color w:val="000000" w:themeColor="text1"/>
          <w:sz w:val="21"/>
          <w:szCs w:val="21"/>
        </w:rPr>
        <w:t xml:space="preserve">be able to </w:t>
      </w:r>
      <w:r w:rsidRPr="008D343C">
        <w:rPr>
          <w:rFonts w:eastAsia="Times New Roman" w:cs="Calibri"/>
          <w:i/>
          <w:color w:val="000000" w:themeColor="text1"/>
          <w:sz w:val="21"/>
          <w:szCs w:val="21"/>
        </w:rPr>
        <w:t xml:space="preserve">sell it to you </w:t>
      </w:r>
      <w:r w:rsidR="00454CCB" w:rsidRPr="008D343C">
        <w:rPr>
          <w:rFonts w:eastAsia="Times New Roman" w:cs="Calibri"/>
          <w:i/>
          <w:color w:val="000000" w:themeColor="text1"/>
          <w:sz w:val="21"/>
          <w:szCs w:val="21"/>
        </w:rPr>
        <w:t>when</w:t>
      </w:r>
      <w:r w:rsidRPr="008D343C">
        <w:rPr>
          <w:rFonts w:eastAsia="Times New Roman" w:cs="Calibri"/>
          <w:i/>
          <w:color w:val="000000" w:themeColor="text1"/>
          <w:sz w:val="21"/>
          <w:szCs w:val="21"/>
        </w:rPr>
        <w:t xml:space="preserve"> you reach the check</w:t>
      </w:r>
      <w:r w:rsidR="00454CCB"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out</w:t>
      </w:r>
      <w:r w:rsidR="00454CCB" w:rsidRPr="008D343C">
        <w:rPr>
          <w:rFonts w:eastAsia="Times New Roman" w:cs="Calibri"/>
          <w:i/>
          <w:color w:val="000000" w:themeColor="text1"/>
          <w:sz w:val="21"/>
          <w:szCs w:val="21"/>
        </w:rPr>
        <w:t xml:space="preserve">”. </w:t>
      </w:r>
      <w:r w:rsidRPr="008D343C">
        <w:rPr>
          <w:rFonts w:eastAsia="Times New Roman" w:cs="Calibri"/>
          <w:i/>
          <w:color w:val="000000" w:themeColor="text1"/>
          <w:sz w:val="21"/>
          <w:szCs w:val="21"/>
        </w:rPr>
        <w:t xml:space="preserve"> </w:t>
      </w:r>
      <w:r w:rsidR="00454CCB" w:rsidRPr="008D343C">
        <w:rPr>
          <w:rFonts w:eastAsia="Times New Roman" w:cs="Calibri"/>
          <w:i/>
          <w:color w:val="000000" w:themeColor="text1"/>
          <w:sz w:val="21"/>
          <w:szCs w:val="21"/>
        </w:rPr>
        <w:t>This may be</w:t>
      </w:r>
      <w:r w:rsidRPr="008D343C">
        <w:rPr>
          <w:rFonts w:eastAsia="Times New Roman" w:cs="Calibri"/>
          <w:i/>
          <w:color w:val="000000" w:themeColor="text1"/>
          <w:sz w:val="21"/>
          <w:szCs w:val="21"/>
        </w:rPr>
        <w:t xml:space="preserve"> perfectly achievable contractually if the customer agrees to it</w:t>
      </w:r>
      <w:r w:rsidR="004E4E25"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 xml:space="preserve"> but who would</w:t>
      </w:r>
      <w:r w:rsidR="004E4E25" w:rsidRPr="008D343C">
        <w:rPr>
          <w:rFonts w:eastAsia="Times New Roman" w:cs="Calibri"/>
          <w:i/>
          <w:color w:val="000000" w:themeColor="text1"/>
          <w:sz w:val="21"/>
          <w:szCs w:val="21"/>
        </w:rPr>
        <w:t xml:space="preserve"> agree to it?</w:t>
      </w:r>
      <w:r w:rsidRPr="008D343C">
        <w:rPr>
          <w:rFonts w:eastAsia="Times New Roman" w:cs="Calibri"/>
          <w:i/>
          <w:color w:val="000000" w:themeColor="text1"/>
          <w:sz w:val="21"/>
          <w:szCs w:val="21"/>
        </w:rPr>
        <w:t xml:space="preserve"> People won't book with an owner who says </w:t>
      </w:r>
      <w:r w:rsidR="004E4E25"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I will take the booking</w:t>
      </w:r>
      <w:r w:rsidR="004E4E25"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 xml:space="preserve"> but I might not honour it</w:t>
      </w:r>
      <w:r w:rsidR="004E4E25"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 xml:space="preserve"> and I am telling you that now Mr and Mrs Guest</w:t>
      </w:r>
      <w:r w:rsidR="00E61932"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 xml:space="preserve"> just so you know and it is incorporated in our agreement as a term</w:t>
      </w:r>
      <w:r w:rsidR="004E4E25" w:rsidRPr="008D343C">
        <w:rPr>
          <w:rFonts w:eastAsia="Times New Roman" w:cs="Calibri"/>
          <w:i/>
          <w:color w:val="000000" w:themeColor="text1"/>
          <w:sz w:val="21"/>
          <w:szCs w:val="21"/>
        </w:rPr>
        <w:t>”</w:t>
      </w:r>
      <w:r w:rsidRPr="008D343C">
        <w:rPr>
          <w:rFonts w:eastAsia="Times New Roman" w:cs="Calibri"/>
          <w:i/>
          <w:color w:val="000000" w:themeColor="text1"/>
          <w:sz w:val="21"/>
          <w:szCs w:val="21"/>
        </w:rPr>
        <w:t xml:space="preserve">. </w:t>
      </w:r>
    </w:p>
    <w:p w14:paraId="7980050D" w14:textId="77777777" w:rsidR="004E4E25" w:rsidRPr="008D343C" w:rsidRDefault="004E4E25" w:rsidP="006563C4">
      <w:pPr>
        <w:rPr>
          <w:rFonts w:eastAsia="Times New Roman" w:cs="Calibri"/>
          <w:i/>
          <w:color w:val="000000" w:themeColor="text1"/>
          <w:sz w:val="21"/>
          <w:szCs w:val="21"/>
        </w:rPr>
      </w:pPr>
    </w:p>
    <w:p w14:paraId="779454A4" w14:textId="1080166F" w:rsidR="007D3A17" w:rsidRPr="008D343C" w:rsidRDefault="004E4E25" w:rsidP="002F3722">
      <w:pPr>
        <w:spacing w:after="160" w:line="259" w:lineRule="auto"/>
        <w:rPr>
          <w:rFonts w:eastAsia="Times New Roman" w:cs="Calibri"/>
          <w:b/>
          <w:color w:val="000000" w:themeColor="text1"/>
          <w:sz w:val="21"/>
          <w:szCs w:val="21"/>
        </w:rPr>
      </w:pPr>
      <w:r w:rsidRPr="008D343C">
        <w:rPr>
          <w:rFonts w:eastAsia="Times New Roman" w:cs="Calibri"/>
          <w:b/>
          <w:color w:val="000000" w:themeColor="text1"/>
          <w:sz w:val="21"/>
          <w:szCs w:val="21"/>
        </w:rPr>
        <w:t>This shows a contemptible lack of understanding of commercial contracts in the tourism sector.</w:t>
      </w:r>
    </w:p>
    <w:p w14:paraId="413D4EBE" w14:textId="77777777" w:rsidR="007D3A17" w:rsidRPr="008D343C" w:rsidRDefault="007D3A17" w:rsidP="00E3743D">
      <w:pPr>
        <w:pStyle w:val="NormalWeb"/>
        <w:spacing w:before="0" w:beforeAutospacing="0" w:after="0" w:afterAutospacing="0"/>
        <w:rPr>
          <w:rFonts w:asciiTheme="minorHAnsi" w:hAnsiTheme="minorHAnsi" w:cstheme="minorHAnsi"/>
          <w:b/>
          <w:color w:val="000000" w:themeColor="text1"/>
          <w:sz w:val="21"/>
          <w:szCs w:val="21"/>
          <w:u w:val="single"/>
        </w:rPr>
      </w:pPr>
    </w:p>
    <w:p w14:paraId="6716B9CA" w14:textId="1CE967BC" w:rsidR="00E3743D" w:rsidRPr="008D343C" w:rsidRDefault="00E3743D" w:rsidP="00E3743D">
      <w:pPr>
        <w:pStyle w:val="NormalWeb"/>
        <w:spacing w:before="0" w:beforeAutospacing="0" w:after="0" w:afterAutospacing="0"/>
        <w:rPr>
          <w:rFonts w:asciiTheme="minorHAnsi" w:hAnsiTheme="minorHAnsi" w:cstheme="minorHAnsi"/>
          <w:b/>
          <w:color w:val="000000" w:themeColor="text1"/>
          <w:sz w:val="21"/>
          <w:szCs w:val="21"/>
          <w:u w:val="single"/>
        </w:rPr>
      </w:pPr>
      <w:r w:rsidRPr="008D343C">
        <w:rPr>
          <w:rFonts w:asciiTheme="minorHAnsi" w:hAnsiTheme="minorHAnsi" w:cstheme="minorHAnsi"/>
          <w:b/>
          <w:color w:val="000000" w:themeColor="text1"/>
          <w:sz w:val="21"/>
          <w:szCs w:val="21"/>
          <w:u w:val="single"/>
        </w:rPr>
        <w:t>CALL FOR EVIDENCE</w:t>
      </w:r>
    </w:p>
    <w:p w14:paraId="60C455A6" w14:textId="795CCBE9" w:rsidR="00E3743D" w:rsidRPr="008D343C" w:rsidRDefault="00E3743D" w:rsidP="002861CE">
      <w:pPr>
        <w:pStyle w:val="NormalWeb"/>
        <w:spacing w:before="0" w:beforeAutospacing="0" w:after="0" w:afterAutospacing="0"/>
        <w:rPr>
          <w:rFonts w:asciiTheme="minorHAnsi" w:hAnsiTheme="minorHAnsi" w:cstheme="minorHAnsi"/>
          <w:color w:val="000000" w:themeColor="text1"/>
          <w:sz w:val="21"/>
          <w:szCs w:val="21"/>
        </w:rPr>
      </w:pPr>
      <w:r w:rsidRPr="008D343C">
        <w:rPr>
          <w:rFonts w:asciiTheme="minorHAnsi" w:hAnsiTheme="minorHAnsi" w:cstheme="minorHAnsi"/>
          <w:color w:val="000000" w:themeColor="text1"/>
          <w:sz w:val="21"/>
          <w:szCs w:val="21"/>
        </w:rPr>
        <w:t>The Local Government and Communities Committee has issued a call for evidence on the regulations, identifying three specific questions. The ASSC looks forward to responding to this prior to the 22</w:t>
      </w:r>
      <w:r w:rsidRPr="008D343C">
        <w:rPr>
          <w:rFonts w:asciiTheme="minorHAnsi" w:hAnsiTheme="minorHAnsi" w:cstheme="minorHAnsi"/>
          <w:color w:val="000000" w:themeColor="text1"/>
          <w:sz w:val="21"/>
          <w:szCs w:val="21"/>
          <w:vertAlign w:val="superscript"/>
        </w:rPr>
        <w:t>nd</w:t>
      </w:r>
      <w:r w:rsidRPr="008D343C">
        <w:rPr>
          <w:rFonts w:asciiTheme="minorHAnsi" w:hAnsiTheme="minorHAnsi" w:cstheme="minorHAnsi"/>
          <w:color w:val="000000" w:themeColor="text1"/>
          <w:sz w:val="21"/>
          <w:szCs w:val="21"/>
        </w:rPr>
        <w:t xml:space="preserve"> January, and this </w:t>
      </w:r>
      <w:r w:rsidR="00473EA7" w:rsidRPr="008D343C">
        <w:rPr>
          <w:rFonts w:asciiTheme="minorHAnsi" w:hAnsiTheme="minorHAnsi" w:cstheme="minorHAnsi"/>
          <w:color w:val="000000" w:themeColor="text1"/>
          <w:sz w:val="21"/>
          <w:szCs w:val="21"/>
        </w:rPr>
        <w:t>note</w:t>
      </w:r>
      <w:r w:rsidRPr="008D343C">
        <w:rPr>
          <w:rFonts w:asciiTheme="minorHAnsi" w:hAnsiTheme="minorHAnsi" w:cstheme="minorHAnsi"/>
          <w:color w:val="000000" w:themeColor="text1"/>
          <w:sz w:val="21"/>
          <w:szCs w:val="21"/>
        </w:rPr>
        <w:t xml:space="preserve"> should be considered as a supplementary submission. </w:t>
      </w:r>
    </w:p>
    <w:p w14:paraId="0959150D" w14:textId="39895AC1" w:rsidR="003C5B35" w:rsidRPr="00FB0CD0" w:rsidRDefault="003C5B35">
      <w:pPr>
        <w:rPr>
          <w:b/>
          <w:bCs/>
          <w:sz w:val="21"/>
          <w:szCs w:val="21"/>
          <w:u w:val="single"/>
        </w:rPr>
      </w:pPr>
    </w:p>
    <w:p w14:paraId="579959D7" w14:textId="3851A36A" w:rsidR="003C5B35" w:rsidRPr="00FB0CD0" w:rsidRDefault="00FB0CD0" w:rsidP="003C5B35">
      <w:pPr>
        <w:rPr>
          <w:b/>
          <w:bCs/>
          <w:sz w:val="21"/>
          <w:szCs w:val="21"/>
          <w:u w:val="single"/>
        </w:rPr>
      </w:pPr>
      <w:r w:rsidRPr="00FB0CD0">
        <w:rPr>
          <w:b/>
          <w:bCs/>
          <w:sz w:val="21"/>
          <w:szCs w:val="21"/>
          <w:u w:val="single"/>
        </w:rPr>
        <w:t>INTRODUCTION</w:t>
      </w:r>
    </w:p>
    <w:p w14:paraId="7CE40D29" w14:textId="220293D3" w:rsidR="006D38F1" w:rsidRPr="00FF73C1" w:rsidRDefault="002D3B6A" w:rsidP="00745942">
      <w:pPr>
        <w:pStyle w:val="NormalWeb"/>
        <w:shd w:val="clear" w:color="auto" w:fill="FFFFFF"/>
        <w:rPr>
          <w:rFonts w:asciiTheme="minorHAnsi" w:hAnsiTheme="minorHAnsi"/>
          <w:b/>
          <w:sz w:val="21"/>
          <w:szCs w:val="21"/>
        </w:rPr>
      </w:pPr>
      <w:r w:rsidRPr="00FF73C1">
        <w:rPr>
          <w:rFonts w:asciiTheme="minorHAnsi" w:hAnsiTheme="minorHAnsi"/>
          <w:sz w:val="21"/>
          <w:szCs w:val="21"/>
        </w:rPr>
        <w:t>In a response to a</w:t>
      </w:r>
      <w:r w:rsidR="006B288D" w:rsidRPr="00FF73C1">
        <w:rPr>
          <w:rFonts w:asciiTheme="minorHAnsi" w:hAnsiTheme="minorHAnsi"/>
          <w:sz w:val="21"/>
          <w:szCs w:val="21"/>
        </w:rPr>
        <w:t xml:space="preserve">n October </w:t>
      </w:r>
      <w:r w:rsidRPr="00FF73C1">
        <w:rPr>
          <w:rFonts w:asciiTheme="minorHAnsi" w:hAnsiTheme="minorHAnsi"/>
          <w:sz w:val="21"/>
          <w:szCs w:val="21"/>
        </w:rPr>
        <w:t>2020 survey of property owners by the Association of Scot</w:t>
      </w:r>
      <w:r w:rsidR="006563C4" w:rsidRPr="00FF73C1">
        <w:rPr>
          <w:rFonts w:asciiTheme="minorHAnsi" w:hAnsiTheme="minorHAnsi"/>
          <w:sz w:val="21"/>
          <w:szCs w:val="21"/>
        </w:rPr>
        <w:t>land’s</w:t>
      </w:r>
      <w:r w:rsidRPr="00FF73C1">
        <w:rPr>
          <w:rFonts w:asciiTheme="minorHAnsi" w:hAnsiTheme="minorHAnsi"/>
          <w:sz w:val="21"/>
          <w:szCs w:val="21"/>
        </w:rPr>
        <w:t xml:space="preserve"> Self</w:t>
      </w:r>
      <w:r w:rsidR="00B33050" w:rsidRPr="00FF73C1">
        <w:rPr>
          <w:rFonts w:asciiTheme="minorHAnsi" w:hAnsiTheme="minorHAnsi"/>
          <w:sz w:val="21"/>
          <w:szCs w:val="21"/>
        </w:rPr>
        <w:t>-</w:t>
      </w:r>
      <w:r w:rsidRPr="00FF73C1">
        <w:rPr>
          <w:rFonts w:asciiTheme="minorHAnsi" w:hAnsiTheme="minorHAnsi"/>
          <w:sz w:val="21"/>
          <w:szCs w:val="21"/>
        </w:rPr>
        <w:t>Caterers</w:t>
      </w:r>
      <w:r w:rsidR="009C2615" w:rsidRPr="00FF73C1">
        <w:rPr>
          <w:rFonts w:asciiTheme="minorHAnsi" w:hAnsiTheme="minorHAnsi"/>
          <w:sz w:val="21"/>
          <w:szCs w:val="21"/>
        </w:rPr>
        <w:t xml:space="preserve"> (ASSC)</w:t>
      </w:r>
      <w:r w:rsidR="00745942" w:rsidRPr="00FF73C1">
        <w:rPr>
          <w:rFonts w:asciiTheme="minorHAnsi" w:hAnsiTheme="minorHAnsi"/>
          <w:sz w:val="21"/>
          <w:szCs w:val="21"/>
        </w:rPr>
        <w:t xml:space="preserve">, </w:t>
      </w:r>
      <w:r w:rsidRPr="00FF73C1">
        <w:rPr>
          <w:rFonts w:asciiTheme="minorHAnsi" w:hAnsiTheme="minorHAnsi"/>
          <w:sz w:val="21"/>
          <w:szCs w:val="21"/>
        </w:rPr>
        <w:t>of the 1</w:t>
      </w:r>
      <w:r w:rsidR="00745942" w:rsidRPr="00FF73C1">
        <w:rPr>
          <w:rFonts w:asciiTheme="minorHAnsi" w:hAnsiTheme="minorHAnsi"/>
          <w:sz w:val="21"/>
          <w:szCs w:val="21"/>
        </w:rPr>
        <w:t>184</w:t>
      </w:r>
      <w:r w:rsidRPr="00FF73C1">
        <w:rPr>
          <w:rFonts w:asciiTheme="minorHAnsi" w:hAnsiTheme="minorHAnsi"/>
          <w:sz w:val="21"/>
          <w:szCs w:val="21"/>
        </w:rPr>
        <w:t xml:space="preserve"> responde</w:t>
      </w:r>
      <w:r w:rsidR="00B75DCC" w:rsidRPr="00FF73C1">
        <w:rPr>
          <w:rFonts w:asciiTheme="minorHAnsi" w:hAnsiTheme="minorHAnsi"/>
          <w:sz w:val="21"/>
          <w:szCs w:val="21"/>
        </w:rPr>
        <w:t>nts</w:t>
      </w:r>
      <w:r w:rsidRPr="00FF73C1">
        <w:rPr>
          <w:rFonts w:asciiTheme="minorHAnsi" w:hAnsiTheme="minorHAnsi"/>
          <w:sz w:val="21"/>
          <w:szCs w:val="21"/>
        </w:rPr>
        <w:t xml:space="preserve"> </w:t>
      </w:r>
      <w:r w:rsidR="00745942" w:rsidRPr="00FF73C1">
        <w:rPr>
          <w:rFonts w:asciiTheme="minorHAnsi" w:hAnsiTheme="minorHAnsi" w:cs="Calibri"/>
          <w:b/>
          <w:bCs/>
          <w:sz w:val="21"/>
          <w:szCs w:val="21"/>
        </w:rPr>
        <w:t>ne</w:t>
      </w:r>
      <w:r w:rsidR="006D38F1" w:rsidRPr="00FF73C1">
        <w:rPr>
          <w:rFonts w:asciiTheme="minorHAnsi" w:hAnsiTheme="minorHAnsi" w:cs="Calibri"/>
          <w:b/>
          <w:bCs/>
          <w:sz w:val="21"/>
          <w:szCs w:val="21"/>
        </w:rPr>
        <w:t xml:space="preserve">arly half (49%) would leave the self-catering sector </w:t>
      </w:r>
      <w:r w:rsidR="006D38F1" w:rsidRPr="00FF73C1">
        <w:rPr>
          <w:rFonts w:asciiTheme="minorHAnsi" w:hAnsiTheme="minorHAnsi" w:cs="Calibri"/>
          <w:b/>
          <w:sz w:val="21"/>
          <w:szCs w:val="21"/>
        </w:rPr>
        <w:t xml:space="preserve">if the proposed licensing scheme was introduced and of those </w:t>
      </w:r>
      <w:r w:rsidR="006D38F1" w:rsidRPr="00FF73C1">
        <w:rPr>
          <w:rFonts w:asciiTheme="minorHAnsi" w:hAnsiTheme="minorHAnsi" w:cs="Calibri"/>
          <w:b/>
          <w:bCs/>
          <w:sz w:val="21"/>
          <w:szCs w:val="21"/>
        </w:rPr>
        <w:t xml:space="preserve">33% </w:t>
      </w:r>
      <w:r w:rsidR="006D38F1" w:rsidRPr="00FF73C1">
        <w:rPr>
          <w:rFonts w:asciiTheme="minorHAnsi" w:hAnsiTheme="minorHAnsi" w:cs="Calibri"/>
          <w:b/>
          <w:sz w:val="21"/>
          <w:szCs w:val="21"/>
        </w:rPr>
        <w:t>would leave the property empty or use it for family &amp; friends</w:t>
      </w:r>
      <w:r w:rsidR="006B288D" w:rsidRPr="00FF73C1">
        <w:rPr>
          <w:rStyle w:val="FootnoteReference"/>
          <w:rFonts w:asciiTheme="minorHAnsi" w:hAnsiTheme="minorHAnsi" w:cs="Calibri"/>
          <w:b/>
          <w:sz w:val="21"/>
          <w:szCs w:val="21"/>
        </w:rPr>
        <w:footnoteReference w:id="1"/>
      </w:r>
      <w:r w:rsidR="006D38F1" w:rsidRPr="00FF73C1">
        <w:rPr>
          <w:rFonts w:asciiTheme="minorHAnsi" w:hAnsiTheme="minorHAnsi" w:cs="Calibri"/>
          <w:b/>
          <w:sz w:val="21"/>
          <w:szCs w:val="21"/>
        </w:rPr>
        <w:t xml:space="preserve">. </w:t>
      </w:r>
    </w:p>
    <w:p w14:paraId="219B1EB6" w14:textId="03945F94" w:rsidR="007A2237" w:rsidRPr="00FF73C1" w:rsidRDefault="007A2237" w:rsidP="002D3B6A">
      <w:pPr>
        <w:rPr>
          <w:sz w:val="21"/>
          <w:szCs w:val="21"/>
        </w:rPr>
      </w:pPr>
      <w:r w:rsidRPr="00FF73C1">
        <w:rPr>
          <w:sz w:val="21"/>
          <w:szCs w:val="21"/>
        </w:rPr>
        <w:t>The self-catering industry is the backbone of the Scottish Touris</w:t>
      </w:r>
      <w:r w:rsidR="0024689F">
        <w:rPr>
          <w:sz w:val="21"/>
          <w:szCs w:val="21"/>
        </w:rPr>
        <w:t>m</w:t>
      </w:r>
      <w:r w:rsidRPr="00FF73C1">
        <w:rPr>
          <w:sz w:val="21"/>
          <w:szCs w:val="21"/>
        </w:rPr>
        <w:t xml:space="preserve"> Industry. It goes without saying how damaging business closures will be to tourism in Scotland, its supply chain and the local businesses that only tourism makes viable. And this</w:t>
      </w:r>
      <w:r w:rsidR="0024689F">
        <w:rPr>
          <w:sz w:val="21"/>
          <w:szCs w:val="21"/>
        </w:rPr>
        <w:t>,</w:t>
      </w:r>
      <w:r w:rsidRPr="00FF73C1">
        <w:rPr>
          <w:sz w:val="21"/>
          <w:szCs w:val="21"/>
        </w:rPr>
        <w:t xml:space="preserve"> at a time when </w:t>
      </w:r>
      <w:r w:rsidRPr="00CC6F17">
        <w:rPr>
          <w:b/>
          <w:sz w:val="21"/>
          <w:szCs w:val="21"/>
        </w:rPr>
        <w:t>the Scottish Government should be encouraging staycations both to help with post-</w:t>
      </w:r>
      <w:proofErr w:type="spellStart"/>
      <w:r w:rsidRPr="00CC6F17">
        <w:rPr>
          <w:b/>
          <w:sz w:val="21"/>
          <w:szCs w:val="21"/>
        </w:rPr>
        <w:t>Covid</w:t>
      </w:r>
      <w:proofErr w:type="spellEnd"/>
      <w:r w:rsidRPr="00CC6F17">
        <w:rPr>
          <w:b/>
          <w:sz w:val="21"/>
          <w:szCs w:val="21"/>
        </w:rPr>
        <w:t xml:space="preserve"> economic recovery and to help minimise climate change</w:t>
      </w:r>
      <w:r w:rsidRPr="00FF73C1">
        <w:rPr>
          <w:sz w:val="21"/>
          <w:szCs w:val="21"/>
        </w:rPr>
        <w:t>.</w:t>
      </w:r>
    </w:p>
    <w:p w14:paraId="3861DF49" w14:textId="77777777" w:rsidR="007A2237" w:rsidRPr="00FF73C1" w:rsidRDefault="007A2237" w:rsidP="002D3B6A">
      <w:pPr>
        <w:rPr>
          <w:sz w:val="21"/>
          <w:szCs w:val="21"/>
        </w:rPr>
      </w:pPr>
    </w:p>
    <w:p w14:paraId="5F14B0AC" w14:textId="2F62B0FF" w:rsidR="002D3B6A" w:rsidRPr="00A80DD3" w:rsidRDefault="002D3B6A" w:rsidP="002D3B6A">
      <w:pPr>
        <w:rPr>
          <w:sz w:val="21"/>
          <w:szCs w:val="21"/>
        </w:rPr>
      </w:pPr>
      <w:r w:rsidRPr="00A80DD3">
        <w:rPr>
          <w:sz w:val="21"/>
          <w:szCs w:val="21"/>
        </w:rPr>
        <w:lastRenderedPageBreak/>
        <w:t>There are many reasons</w:t>
      </w:r>
      <w:r w:rsidR="007A2237" w:rsidRPr="00A80DD3">
        <w:rPr>
          <w:sz w:val="21"/>
          <w:szCs w:val="21"/>
        </w:rPr>
        <w:t>,</w:t>
      </w:r>
      <w:r w:rsidRPr="00A80DD3">
        <w:rPr>
          <w:sz w:val="21"/>
          <w:szCs w:val="21"/>
        </w:rPr>
        <w:t xml:space="preserve"> </w:t>
      </w:r>
      <w:r w:rsidR="007A2237" w:rsidRPr="00A80DD3">
        <w:rPr>
          <w:sz w:val="21"/>
          <w:szCs w:val="21"/>
        </w:rPr>
        <w:t>particularly in the context of small single property businesses which the majority are, why businesses will close</w:t>
      </w:r>
      <w:r w:rsidRPr="00A80DD3">
        <w:rPr>
          <w:sz w:val="21"/>
          <w:szCs w:val="21"/>
        </w:rPr>
        <w:t>: concerns with the bureaucracy involved in applying, licence conditions which may be impractical or unworkable and unknown</w:t>
      </w:r>
      <w:r w:rsidR="00C83F29" w:rsidRPr="00A80DD3">
        <w:rPr>
          <w:sz w:val="21"/>
          <w:szCs w:val="21"/>
        </w:rPr>
        <w:t>,</w:t>
      </w:r>
      <w:r w:rsidRPr="00A80DD3">
        <w:rPr>
          <w:sz w:val="21"/>
          <w:szCs w:val="21"/>
        </w:rPr>
        <w:t xml:space="preserve"> open ended application costs,</w:t>
      </w:r>
      <w:r w:rsidR="00C83F29" w:rsidRPr="00A80DD3">
        <w:rPr>
          <w:sz w:val="21"/>
          <w:szCs w:val="21"/>
        </w:rPr>
        <w:t xml:space="preserve"> uncertainty over recouping investment in the property (repairs, new boilers etc)</w:t>
      </w:r>
      <w:r w:rsidR="007A2237" w:rsidRPr="00A80DD3">
        <w:rPr>
          <w:sz w:val="21"/>
          <w:szCs w:val="21"/>
        </w:rPr>
        <w:t>.</w:t>
      </w:r>
    </w:p>
    <w:p w14:paraId="635EFE2B" w14:textId="77777777" w:rsidR="002D3B6A" w:rsidRPr="00FF73C1" w:rsidRDefault="002D3B6A" w:rsidP="003C5B35">
      <w:pPr>
        <w:rPr>
          <w:sz w:val="21"/>
          <w:szCs w:val="21"/>
        </w:rPr>
      </w:pPr>
    </w:p>
    <w:p w14:paraId="0F0E57C7" w14:textId="1E44F75B" w:rsidR="002D3B6A" w:rsidRPr="00A80DD3" w:rsidRDefault="002D3B6A" w:rsidP="003C5B35">
      <w:pPr>
        <w:rPr>
          <w:b/>
          <w:sz w:val="21"/>
          <w:szCs w:val="21"/>
        </w:rPr>
      </w:pPr>
      <w:r w:rsidRPr="00A80DD3">
        <w:rPr>
          <w:b/>
          <w:sz w:val="21"/>
          <w:szCs w:val="21"/>
        </w:rPr>
        <w:t>T</w:t>
      </w:r>
      <w:r w:rsidR="003C5B35" w:rsidRPr="00A80DD3">
        <w:rPr>
          <w:b/>
          <w:sz w:val="21"/>
          <w:szCs w:val="21"/>
        </w:rPr>
        <w:t xml:space="preserve">his note explains </w:t>
      </w:r>
      <w:r w:rsidRPr="00A80DD3">
        <w:rPr>
          <w:b/>
          <w:sz w:val="21"/>
          <w:szCs w:val="21"/>
        </w:rPr>
        <w:t>a further and very specific key concern that will further fuel business closures: the</w:t>
      </w:r>
      <w:r w:rsidR="003C5B35" w:rsidRPr="00A80DD3">
        <w:rPr>
          <w:b/>
          <w:sz w:val="21"/>
          <w:szCs w:val="21"/>
        </w:rPr>
        <w:t xml:space="preserve"> </w:t>
      </w:r>
      <w:r w:rsidR="00125722" w:rsidRPr="00A80DD3">
        <w:rPr>
          <w:b/>
          <w:sz w:val="21"/>
          <w:szCs w:val="21"/>
        </w:rPr>
        <w:t>damage and uncertainty</w:t>
      </w:r>
      <w:r w:rsidR="003C5B35" w:rsidRPr="00A80DD3">
        <w:rPr>
          <w:b/>
          <w:sz w:val="21"/>
          <w:szCs w:val="21"/>
        </w:rPr>
        <w:t xml:space="preserve"> around </w:t>
      </w:r>
      <w:r w:rsidRPr="00A80DD3">
        <w:rPr>
          <w:b/>
          <w:sz w:val="21"/>
          <w:szCs w:val="21"/>
        </w:rPr>
        <w:t xml:space="preserve">future </w:t>
      </w:r>
      <w:r w:rsidR="003C5B35" w:rsidRPr="00A80DD3">
        <w:rPr>
          <w:b/>
          <w:sz w:val="21"/>
          <w:szCs w:val="21"/>
        </w:rPr>
        <w:t xml:space="preserve">bookings </w:t>
      </w:r>
      <w:r w:rsidR="00125722" w:rsidRPr="00A80DD3">
        <w:rPr>
          <w:b/>
          <w:sz w:val="21"/>
          <w:szCs w:val="21"/>
        </w:rPr>
        <w:t xml:space="preserve">that the licensing </w:t>
      </w:r>
      <w:r w:rsidR="007A2237" w:rsidRPr="00A80DD3">
        <w:rPr>
          <w:b/>
          <w:sz w:val="21"/>
          <w:szCs w:val="21"/>
        </w:rPr>
        <w:t>procedure</w:t>
      </w:r>
      <w:r w:rsidR="00125722" w:rsidRPr="00A80DD3">
        <w:rPr>
          <w:b/>
          <w:sz w:val="21"/>
          <w:szCs w:val="21"/>
        </w:rPr>
        <w:t xml:space="preserve"> itself creates.</w:t>
      </w:r>
      <w:r w:rsidRPr="00A80DD3">
        <w:rPr>
          <w:b/>
          <w:sz w:val="21"/>
          <w:szCs w:val="21"/>
        </w:rPr>
        <w:t xml:space="preserve"> </w:t>
      </w:r>
    </w:p>
    <w:p w14:paraId="2636607C" w14:textId="77777777" w:rsidR="00125722" w:rsidRPr="00A80DD3" w:rsidRDefault="00125722" w:rsidP="003C5B35">
      <w:pPr>
        <w:rPr>
          <w:b/>
          <w:sz w:val="21"/>
          <w:szCs w:val="21"/>
        </w:rPr>
      </w:pPr>
    </w:p>
    <w:p w14:paraId="25523C85" w14:textId="77777777" w:rsidR="003C5B35" w:rsidRPr="00FF73C1" w:rsidRDefault="003C5B35">
      <w:pPr>
        <w:rPr>
          <w:b/>
          <w:bCs/>
          <w:sz w:val="21"/>
          <w:szCs w:val="21"/>
        </w:rPr>
      </w:pPr>
    </w:p>
    <w:p w14:paraId="0DB00413" w14:textId="47CC6E58" w:rsidR="00C448F4" w:rsidRPr="00FB0CD0" w:rsidRDefault="00FB0CD0">
      <w:pPr>
        <w:rPr>
          <w:b/>
          <w:bCs/>
          <w:sz w:val="21"/>
          <w:szCs w:val="21"/>
          <w:u w:val="single"/>
        </w:rPr>
      </w:pPr>
      <w:r w:rsidRPr="00FB0CD0">
        <w:rPr>
          <w:b/>
          <w:bCs/>
          <w:sz w:val="21"/>
          <w:szCs w:val="21"/>
          <w:u w:val="single"/>
        </w:rPr>
        <w:t>BASIC LICEN</w:t>
      </w:r>
      <w:r w:rsidR="004C02C2">
        <w:rPr>
          <w:b/>
          <w:bCs/>
          <w:sz w:val="21"/>
          <w:szCs w:val="21"/>
          <w:u w:val="single"/>
        </w:rPr>
        <w:t>S</w:t>
      </w:r>
      <w:r w:rsidRPr="00FB0CD0">
        <w:rPr>
          <w:b/>
          <w:bCs/>
          <w:sz w:val="21"/>
          <w:szCs w:val="21"/>
          <w:u w:val="single"/>
        </w:rPr>
        <w:t>ING REQUIREMENT (ARTICLES 3,4 &amp; 5)</w:t>
      </w:r>
    </w:p>
    <w:p w14:paraId="6F36B5AE" w14:textId="77777777" w:rsidR="00C448F4" w:rsidRPr="00FF73C1" w:rsidRDefault="00C448F4">
      <w:pPr>
        <w:rPr>
          <w:sz w:val="21"/>
          <w:szCs w:val="21"/>
        </w:rPr>
      </w:pPr>
    </w:p>
    <w:p w14:paraId="6BE723F6" w14:textId="4F8D9851" w:rsidR="00C448F4" w:rsidRPr="00FF73C1" w:rsidRDefault="00C448F4">
      <w:pPr>
        <w:rPr>
          <w:sz w:val="21"/>
          <w:szCs w:val="21"/>
        </w:rPr>
      </w:pPr>
      <w:r w:rsidRPr="00FF73C1">
        <w:rPr>
          <w:sz w:val="21"/>
          <w:szCs w:val="21"/>
        </w:rPr>
        <w:t xml:space="preserve">Under </w:t>
      </w:r>
      <w:r w:rsidR="00A77B53" w:rsidRPr="00FF73C1">
        <w:rPr>
          <w:sz w:val="21"/>
          <w:szCs w:val="21"/>
        </w:rPr>
        <w:t>article</w:t>
      </w:r>
      <w:r w:rsidRPr="00FF73C1">
        <w:rPr>
          <w:sz w:val="21"/>
          <w:szCs w:val="21"/>
        </w:rPr>
        <w:t xml:space="preserve"> 3 </w:t>
      </w:r>
      <w:r w:rsidR="00125722" w:rsidRPr="00FF73C1">
        <w:rPr>
          <w:sz w:val="21"/>
          <w:szCs w:val="21"/>
        </w:rPr>
        <w:t xml:space="preserve">of the Order </w:t>
      </w:r>
      <w:r w:rsidRPr="00FF73C1">
        <w:rPr>
          <w:sz w:val="21"/>
          <w:szCs w:val="21"/>
        </w:rPr>
        <w:t xml:space="preserve">as read with </w:t>
      </w:r>
      <w:r w:rsidR="00A77B53" w:rsidRPr="00FF73C1">
        <w:rPr>
          <w:sz w:val="21"/>
          <w:szCs w:val="21"/>
        </w:rPr>
        <w:t>article</w:t>
      </w:r>
      <w:r w:rsidRPr="00FF73C1">
        <w:rPr>
          <w:sz w:val="21"/>
          <w:szCs w:val="21"/>
        </w:rPr>
        <w:t xml:space="preserve"> 4 “short-term lets” (defined in </w:t>
      </w:r>
      <w:r w:rsidR="00A77B53" w:rsidRPr="00FF73C1">
        <w:rPr>
          <w:sz w:val="21"/>
          <w:szCs w:val="21"/>
        </w:rPr>
        <w:t>article</w:t>
      </w:r>
      <w:r w:rsidRPr="00FF73C1">
        <w:rPr>
          <w:sz w:val="21"/>
          <w:szCs w:val="21"/>
        </w:rPr>
        <w:t xml:space="preserve"> 2(2)</w:t>
      </w:r>
      <w:r w:rsidR="00125722" w:rsidRPr="00FF73C1">
        <w:rPr>
          <w:sz w:val="21"/>
          <w:szCs w:val="21"/>
        </w:rPr>
        <w:t>)</w:t>
      </w:r>
      <w:r w:rsidRPr="00FF73C1">
        <w:rPr>
          <w:sz w:val="21"/>
          <w:szCs w:val="21"/>
        </w:rPr>
        <w:t xml:space="preserve"> after 1 April 2022 require a licence under Part 1 of the Civic Government (Scotland) Act 1982</w:t>
      </w:r>
      <w:r w:rsidR="00125722" w:rsidRPr="00FF73C1">
        <w:rPr>
          <w:sz w:val="21"/>
          <w:szCs w:val="21"/>
        </w:rPr>
        <w:t>,</w:t>
      </w:r>
      <w:r w:rsidRPr="00FF73C1">
        <w:rPr>
          <w:sz w:val="21"/>
          <w:szCs w:val="21"/>
        </w:rPr>
        <w:t xml:space="preserve"> as amended by Schedule 2 of the Order</w:t>
      </w:r>
      <w:r w:rsidR="00A77B53" w:rsidRPr="00FF73C1">
        <w:rPr>
          <w:sz w:val="21"/>
          <w:szCs w:val="21"/>
        </w:rPr>
        <w:t xml:space="preserve"> (and also the further amendments in article 6 where the transitional provisions apply).</w:t>
      </w:r>
    </w:p>
    <w:p w14:paraId="4C2E821B" w14:textId="2F421CA7" w:rsidR="00A77B53" w:rsidRPr="00FF73C1" w:rsidRDefault="00A77B53">
      <w:pPr>
        <w:rPr>
          <w:sz w:val="21"/>
          <w:szCs w:val="21"/>
        </w:rPr>
      </w:pPr>
    </w:p>
    <w:p w14:paraId="1651FA27" w14:textId="4CF6EF5E" w:rsidR="00A77B53" w:rsidRPr="00FF73C1" w:rsidRDefault="00A77B53">
      <w:pPr>
        <w:rPr>
          <w:sz w:val="21"/>
          <w:szCs w:val="21"/>
        </w:rPr>
      </w:pPr>
      <w:r w:rsidRPr="00FF73C1">
        <w:rPr>
          <w:sz w:val="21"/>
          <w:szCs w:val="21"/>
        </w:rPr>
        <w:t>A licence is to be subject to the conditions in schedule 3</w:t>
      </w:r>
      <w:r w:rsidR="00C67BB5" w:rsidRPr="00FF73C1">
        <w:rPr>
          <w:sz w:val="21"/>
          <w:szCs w:val="21"/>
        </w:rPr>
        <w:t xml:space="preserve"> to the Order and </w:t>
      </w:r>
      <w:r w:rsidR="00125722" w:rsidRPr="00FF73C1">
        <w:rPr>
          <w:sz w:val="21"/>
          <w:szCs w:val="21"/>
        </w:rPr>
        <w:t xml:space="preserve">to </w:t>
      </w:r>
      <w:r w:rsidR="00C67BB5" w:rsidRPr="00FF73C1">
        <w:rPr>
          <w:sz w:val="21"/>
          <w:szCs w:val="21"/>
        </w:rPr>
        <w:t>other conditions the Council may impose.</w:t>
      </w:r>
    </w:p>
    <w:p w14:paraId="2EA1532B" w14:textId="77777777" w:rsidR="003C5B35" w:rsidRPr="00FF73C1" w:rsidRDefault="003C5B35" w:rsidP="003C5B35">
      <w:pPr>
        <w:rPr>
          <w:sz w:val="21"/>
          <w:szCs w:val="21"/>
        </w:rPr>
      </w:pPr>
    </w:p>
    <w:p w14:paraId="6D574289" w14:textId="0731CCCB" w:rsidR="003C5B35" w:rsidRPr="00FF73C1" w:rsidRDefault="003C5B35" w:rsidP="003C5B35">
      <w:pPr>
        <w:rPr>
          <w:i/>
          <w:iCs/>
          <w:sz w:val="21"/>
          <w:szCs w:val="21"/>
        </w:rPr>
      </w:pPr>
      <w:r w:rsidRPr="00FF73C1">
        <w:rPr>
          <w:i/>
          <w:iCs/>
          <w:sz w:val="21"/>
          <w:szCs w:val="21"/>
        </w:rPr>
        <w:t>Period of licence</w:t>
      </w:r>
    </w:p>
    <w:p w14:paraId="1C8A3155" w14:textId="77777777" w:rsidR="003C5B35" w:rsidRPr="00FF73C1" w:rsidRDefault="003C5B35" w:rsidP="003C5B35">
      <w:pPr>
        <w:rPr>
          <w:i/>
          <w:iCs/>
          <w:sz w:val="21"/>
          <w:szCs w:val="21"/>
        </w:rPr>
      </w:pPr>
    </w:p>
    <w:p w14:paraId="0E2CA3B3" w14:textId="2F5348AA" w:rsidR="003C5B35" w:rsidRPr="00FF73C1" w:rsidRDefault="003C5B35" w:rsidP="003C5B35">
      <w:pPr>
        <w:rPr>
          <w:sz w:val="21"/>
          <w:szCs w:val="21"/>
        </w:rPr>
      </w:pPr>
      <w:r w:rsidRPr="00FF73C1">
        <w:rPr>
          <w:sz w:val="21"/>
          <w:szCs w:val="21"/>
        </w:rPr>
        <w:t xml:space="preserve">This is </w:t>
      </w:r>
      <w:r w:rsidR="00125722" w:rsidRPr="00FF73C1">
        <w:rPr>
          <w:sz w:val="21"/>
          <w:szCs w:val="21"/>
        </w:rPr>
        <w:t>provided for</w:t>
      </w:r>
      <w:r w:rsidRPr="00FF73C1">
        <w:rPr>
          <w:sz w:val="21"/>
          <w:szCs w:val="21"/>
        </w:rPr>
        <w:t xml:space="preserve"> by Par 8 of Sch 1 to the 1982 Act as </w:t>
      </w:r>
      <w:r w:rsidR="00C67BB5" w:rsidRPr="00FF73C1">
        <w:rPr>
          <w:sz w:val="21"/>
          <w:szCs w:val="21"/>
        </w:rPr>
        <w:t>amended</w:t>
      </w:r>
      <w:r w:rsidRPr="00FF73C1">
        <w:rPr>
          <w:sz w:val="21"/>
          <w:szCs w:val="21"/>
        </w:rPr>
        <w:t xml:space="preserve"> by Para 7 of Sch 1 to the Order. This gives complete flexibility to the </w:t>
      </w:r>
      <w:r w:rsidR="00125722" w:rsidRPr="00FF73C1">
        <w:rPr>
          <w:sz w:val="21"/>
          <w:szCs w:val="21"/>
        </w:rPr>
        <w:t>Council to decide the period before renewal is required</w:t>
      </w:r>
      <w:r w:rsidRPr="00FF73C1">
        <w:rPr>
          <w:sz w:val="21"/>
          <w:szCs w:val="21"/>
        </w:rPr>
        <w:t xml:space="preserve"> –</w:t>
      </w:r>
    </w:p>
    <w:p w14:paraId="6190B9D4" w14:textId="77777777" w:rsidR="003C5B35" w:rsidRPr="00FF73C1" w:rsidRDefault="003C5B35" w:rsidP="003C5B35">
      <w:pPr>
        <w:rPr>
          <w:sz w:val="21"/>
          <w:szCs w:val="21"/>
        </w:rPr>
      </w:pPr>
    </w:p>
    <w:p w14:paraId="0835F5E0" w14:textId="77777777" w:rsidR="003C5B35" w:rsidRPr="00FF73C1" w:rsidRDefault="003C5B35" w:rsidP="003C5B35">
      <w:pPr>
        <w:pStyle w:val="ListParagraph"/>
        <w:numPr>
          <w:ilvl w:val="0"/>
          <w:numId w:val="5"/>
        </w:numPr>
        <w:rPr>
          <w:sz w:val="21"/>
          <w:szCs w:val="21"/>
        </w:rPr>
      </w:pPr>
      <w:r w:rsidRPr="00FF73C1">
        <w:rPr>
          <w:sz w:val="21"/>
          <w:szCs w:val="21"/>
        </w:rPr>
        <w:t>3 years (the default)</w:t>
      </w:r>
    </w:p>
    <w:p w14:paraId="19264F85" w14:textId="36257964" w:rsidR="003C5B35" w:rsidRPr="00FF73C1" w:rsidRDefault="003C5B35" w:rsidP="003C5B35">
      <w:pPr>
        <w:pStyle w:val="ListParagraph"/>
        <w:numPr>
          <w:ilvl w:val="0"/>
          <w:numId w:val="5"/>
        </w:numPr>
        <w:rPr>
          <w:sz w:val="21"/>
          <w:szCs w:val="21"/>
        </w:rPr>
      </w:pPr>
      <w:r w:rsidRPr="00FF73C1">
        <w:rPr>
          <w:i/>
          <w:iCs/>
          <w:sz w:val="21"/>
          <w:szCs w:val="21"/>
        </w:rPr>
        <w:t>“such SHORTER period as the licensing authority may decide”</w:t>
      </w:r>
      <w:r w:rsidRPr="00FF73C1">
        <w:rPr>
          <w:sz w:val="21"/>
          <w:szCs w:val="21"/>
        </w:rPr>
        <w:t xml:space="preserve"> (</w:t>
      </w:r>
      <w:r w:rsidR="00125722" w:rsidRPr="00FF73C1">
        <w:rPr>
          <w:sz w:val="21"/>
          <w:szCs w:val="21"/>
        </w:rPr>
        <w:t>NOT</w:t>
      </w:r>
      <w:r w:rsidRPr="00FF73C1">
        <w:rPr>
          <w:sz w:val="21"/>
          <w:szCs w:val="21"/>
        </w:rPr>
        <w:t xml:space="preserve"> disapplied by the Order)</w:t>
      </w:r>
    </w:p>
    <w:p w14:paraId="6DC55D2F" w14:textId="03566351" w:rsidR="003C5B35" w:rsidRPr="00FF73C1" w:rsidRDefault="00125722" w:rsidP="003C5B35">
      <w:pPr>
        <w:pStyle w:val="ListParagraph"/>
        <w:numPr>
          <w:ilvl w:val="0"/>
          <w:numId w:val="5"/>
        </w:numPr>
        <w:rPr>
          <w:sz w:val="21"/>
          <w:szCs w:val="21"/>
        </w:rPr>
      </w:pPr>
      <w:r w:rsidRPr="00FF73C1">
        <w:rPr>
          <w:i/>
          <w:iCs/>
          <w:sz w:val="21"/>
          <w:szCs w:val="21"/>
        </w:rPr>
        <w:t>“s</w:t>
      </w:r>
      <w:r w:rsidR="003C5B35" w:rsidRPr="00FF73C1">
        <w:rPr>
          <w:i/>
          <w:iCs/>
          <w:sz w:val="21"/>
          <w:szCs w:val="21"/>
        </w:rPr>
        <w:t>uch longer period as the licensing authority may decide</w:t>
      </w:r>
      <w:r w:rsidRPr="00FF73C1">
        <w:rPr>
          <w:i/>
          <w:iCs/>
          <w:sz w:val="21"/>
          <w:szCs w:val="21"/>
        </w:rPr>
        <w:t>”</w:t>
      </w:r>
      <w:r w:rsidR="003C5B35" w:rsidRPr="00FF73C1">
        <w:rPr>
          <w:sz w:val="21"/>
          <w:szCs w:val="21"/>
        </w:rPr>
        <w:t xml:space="preserve"> (introduced by the Order)</w:t>
      </w:r>
    </w:p>
    <w:p w14:paraId="61147D36" w14:textId="62E5BD6C" w:rsidR="00563D08" w:rsidRDefault="00563D08">
      <w:pPr>
        <w:rPr>
          <w:sz w:val="21"/>
          <w:szCs w:val="21"/>
        </w:rPr>
      </w:pPr>
    </w:p>
    <w:p w14:paraId="22A0BD64" w14:textId="77777777" w:rsidR="00CC6F17" w:rsidRPr="00FF73C1" w:rsidRDefault="00CC6F17">
      <w:pPr>
        <w:rPr>
          <w:sz w:val="21"/>
          <w:szCs w:val="21"/>
        </w:rPr>
      </w:pPr>
    </w:p>
    <w:p w14:paraId="18057471" w14:textId="512DEFA4" w:rsidR="00C448F4" w:rsidRPr="00FB0CD0" w:rsidRDefault="00FB0CD0">
      <w:pPr>
        <w:rPr>
          <w:b/>
          <w:bCs/>
          <w:sz w:val="21"/>
          <w:szCs w:val="21"/>
          <w:u w:val="single"/>
        </w:rPr>
      </w:pPr>
      <w:r w:rsidRPr="00FB0CD0">
        <w:rPr>
          <w:b/>
          <w:bCs/>
          <w:sz w:val="21"/>
          <w:szCs w:val="21"/>
          <w:u w:val="single"/>
        </w:rPr>
        <w:t>TRANSITIONAL PROVISION FOR EXISTING OPERATORS (ARTICLE 6)</w:t>
      </w:r>
    </w:p>
    <w:p w14:paraId="09D3CA75" w14:textId="1D0AB309" w:rsidR="00C448F4" w:rsidRPr="00FF73C1" w:rsidRDefault="00C448F4">
      <w:pPr>
        <w:rPr>
          <w:sz w:val="21"/>
          <w:szCs w:val="21"/>
        </w:rPr>
      </w:pPr>
    </w:p>
    <w:p w14:paraId="3E833384" w14:textId="6C986A9B" w:rsidR="00C448F4" w:rsidRPr="00FF73C1" w:rsidRDefault="00A77B53">
      <w:pPr>
        <w:rPr>
          <w:sz w:val="21"/>
          <w:szCs w:val="21"/>
        </w:rPr>
      </w:pPr>
      <w:r w:rsidRPr="00FF73C1">
        <w:rPr>
          <w:sz w:val="21"/>
          <w:szCs w:val="21"/>
        </w:rPr>
        <w:t>Article</w:t>
      </w:r>
      <w:r w:rsidR="00C448F4" w:rsidRPr="00FF73C1">
        <w:rPr>
          <w:sz w:val="21"/>
          <w:szCs w:val="21"/>
        </w:rPr>
        <w:t xml:space="preserve"> </w:t>
      </w:r>
      <w:r w:rsidRPr="00FF73C1">
        <w:rPr>
          <w:sz w:val="21"/>
          <w:szCs w:val="21"/>
        </w:rPr>
        <w:t>6</w:t>
      </w:r>
      <w:r w:rsidR="00C448F4" w:rsidRPr="00FF73C1">
        <w:rPr>
          <w:sz w:val="21"/>
          <w:szCs w:val="21"/>
        </w:rPr>
        <w:t xml:space="preserve"> provides that a person who provides a short-term let without a licence after I April 2022 does </w:t>
      </w:r>
      <w:r w:rsidR="00125722" w:rsidRPr="00FF73C1">
        <w:rPr>
          <w:sz w:val="21"/>
          <w:szCs w:val="21"/>
        </w:rPr>
        <w:t>NOT</w:t>
      </w:r>
      <w:r w:rsidR="00C448F4" w:rsidRPr="00FF73C1">
        <w:rPr>
          <w:sz w:val="21"/>
          <w:szCs w:val="21"/>
        </w:rPr>
        <w:t xml:space="preserve"> commit an offence if –</w:t>
      </w:r>
    </w:p>
    <w:p w14:paraId="715643B4" w14:textId="4611DBDC" w:rsidR="00C448F4" w:rsidRPr="00FF73C1" w:rsidRDefault="00C448F4">
      <w:pPr>
        <w:rPr>
          <w:sz w:val="21"/>
          <w:szCs w:val="21"/>
        </w:rPr>
      </w:pPr>
    </w:p>
    <w:p w14:paraId="362C64F5" w14:textId="72DEAB47" w:rsidR="00C448F4" w:rsidRPr="00FF73C1" w:rsidRDefault="00125722" w:rsidP="00C448F4">
      <w:pPr>
        <w:pStyle w:val="ListParagraph"/>
        <w:numPr>
          <w:ilvl w:val="0"/>
          <w:numId w:val="1"/>
        </w:numPr>
        <w:rPr>
          <w:sz w:val="21"/>
          <w:szCs w:val="21"/>
        </w:rPr>
      </w:pPr>
      <w:r w:rsidRPr="00FF73C1">
        <w:rPr>
          <w:sz w:val="21"/>
          <w:szCs w:val="21"/>
        </w:rPr>
        <w:t>t</w:t>
      </w:r>
      <w:r w:rsidR="00C448F4" w:rsidRPr="00FF73C1">
        <w:rPr>
          <w:sz w:val="21"/>
          <w:szCs w:val="21"/>
        </w:rPr>
        <w:t>hey carried on the business before 1 April 2022</w:t>
      </w:r>
      <w:r w:rsidRPr="00FF73C1">
        <w:rPr>
          <w:sz w:val="21"/>
          <w:szCs w:val="21"/>
        </w:rPr>
        <w:t>, and</w:t>
      </w:r>
    </w:p>
    <w:p w14:paraId="1674D16B" w14:textId="596D12C9" w:rsidR="00C448F4" w:rsidRPr="00FF73C1" w:rsidRDefault="00125722" w:rsidP="00C448F4">
      <w:pPr>
        <w:pStyle w:val="ListParagraph"/>
        <w:numPr>
          <w:ilvl w:val="0"/>
          <w:numId w:val="1"/>
        </w:numPr>
        <w:rPr>
          <w:sz w:val="21"/>
          <w:szCs w:val="21"/>
        </w:rPr>
      </w:pPr>
      <w:r w:rsidRPr="00FF73C1">
        <w:rPr>
          <w:sz w:val="21"/>
          <w:szCs w:val="21"/>
        </w:rPr>
        <w:t>t</w:t>
      </w:r>
      <w:r w:rsidR="00C448F4" w:rsidRPr="00FF73C1">
        <w:rPr>
          <w:sz w:val="21"/>
          <w:szCs w:val="21"/>
        </w:rPr>
        <w:t>hey apply for a licence before 1 April 2023</w:t>
      </w:r>
      <w:r w:rsidRPr="00FF73C1">
        <w:rPr>
          <w:sz w:val="21"/>
          <w:szCs w:val="21"/>
        </w:rPr>
        <w:t>, and</w:t>
      </w:r>
    </w:p>
    <w:p w14:paraId="50B1C447" w14:textId="4876943E" w:rsidR="00C448F4" w:rsidRPr="00FF73C1" w:rsidRDefault="00125722" w:rsidP="00C448F4">
      <w:pPr>
        <w:pStyle w:val="ListParagraph"/>
        <w:numPr>
          <w:ilvl w:val="0"/>
          <w:numId w:val="1"/>
        </w:numPr>
        <w:rPr>
          <w:sz w:val="21"/>
          <w:szCs w:val="21"/>
        </w:rPr>
      </w:pPr>
      <w:r w:rsidRPr="00FF73C1">
        <w:rPr>
          <w:sz w:val="21"/>
          <w:szCs w:val="21"/>
        </w:rPr>
        <w:t>t</w:t>
      </w:r>
      <w:r w:rsidR="00C448F4" w:rsidRPr="00FF73C1">
        <w:rPr>
          <w:sz w:val="21"/>
          <w:szCs w:val="21"/>
        </w:rPr>
        <w:t xml:space="preserve">he licence application has not been </w:t>
      </w:r>
      <w:r w:rsidR="00A77B53" w:rsidRPr="00FF73C1">
        <w:rPr>
          <w:sz w:val="21"/>
          <w:szCs w:val="21"/>
        </w:rPr>
        <w:t>determined (this includes determination an appeal made to a sheriff within 28 days of a licence refusal -</w:t>
      </w:r>
      <w:r w:rsidRPr="00FF73C1">
        <w:rPr>
          <w:sz w:val="21"/>
          <w:szCs w:val="21"/>
        </w:rPr>
        <w:t xml:space="preserve"> </w:t>
      </w:r>
      <w:r w:rsidR="00A77B53" w:rsidRPr="00FF73C1">
        <w:rPr>
          <w:sz w:val="21"/>
          <w:szCs w:val="21"/>
        </w:rPr>
        <w:t xml:space="preserve">see para 18(4) of </w:t>
      </w:r>
      <w:proofErr w:type="spellStart"/>
      <w:r w:rsidR="00A77B53" w:rsidRPr="00FF73C1">
        <w:rPr>
          <w:sz w:val="21"/>
          <w:szCs w:val="21"/>
        </w:rPr>
        <w:t>sch</w:t>
      </w:r>
      <w:proofErr w:type="spellEnd"/>
      <w:r w:rsidR="00A77B53" w:rsidRPr="00FF73C1">
        <w:rPr>
          <w:sz w:val="21"/>
          <w:szCs w:val="21"/>
        </w:rPr>
        <w:t xml:space="preserve"> 1 to the 1982 Act)</w:t>
      </w:r>
    </w:p>
    <w:p w14:paraId="38EB6A94" w14:textId="0D625BC6" w:rsidR="00A77B53" w:rsidRPr="00FF73C1" w:rsidRDefault="00A77B53" w:rsidP="00A77B53">
      <w:pPr>
        <w:rPr>
          <w:sz w:val="21"/>
          <w:szCs w:val="21"/>
        </w:rPr>
      </w:pPr>
    </w:p>
    <w:p w14:paraId="41C36660" w14:textId="0A972150" w:rsidR="00A77B53" w:rsidRPr="00FF73C1" w:rsidRDefault="00A77B53" w:rsidP="00A77B53">
      <w:pPr>
        <w:rPr>
          <w:sz w:val="21"/>
          <w:szCs w:val="21"/>
        </w:rPr>
      </w:pPr>
      <w:r w:rsidRPr="00FF73C1">
        <w:rPr>
          <w:sz w:val="21"/>
          <w:szCs w:val="21"/>
        </w:rPr>
        <w:t xml:space="preserve">Article 6(2) requires the </w:t>
      </w:r>
      <w:r w:rsidR="00125722" w:rsidRPr="00FF73C1">
        <w:rPr>
          <w:sz w:val="21"/>
          <w:szCs w:val="21"/>
        </w:rPr>
        <w:t>Council</w:t>
      </w:r>
      <w:r w:rsidRPr="00FF73C1">
        <w:rPr>
          <w:sz w:val="21"/>
          <w:szCs w:val="21"/>
        </w:rPr>
        <w:t xml:space="preserve"> to reach a final decision with 12 months of the application.</w:t>
      </w:r>
      <w:r w:rsidR="00F3026A" w:rsidRPr="00FF73C1">
        <w:rPr>
          <w:sz w:val="21"/>
          <w:szCs w:val="21"/>
        </w:rPr>
        <w:t xml:space="preserve"> This does not appear to apply to licence renewal: </w:t>
      </w:r>
      <w:proofErr w:type="gramStart"/>
      <w:r w:rsidR="00F3026A" w:rsidRPr="00FF73C1">
        <w:rPr>
          <w:sz w:val="21"/>
          <w:szCs w:val="21"/>
        </w:rPr>
        <w:t>so</w:t>
      </w:r>
      <w:proofErr w:type="gramEnd"/>
      <w:r w:rsidR="00F3026A" w:rsidRPr="00FF73C1">
        <w:rPr>
          <w:sz w:val="21"/>
          <w:szCs w:val="21"/>
        </w:rPr>
        <w:t xml:space="preserve"> assumption is that 6 month limit applies</w:t>
      </w:r>
      <w:r w:rsidR="00125722" w:rsidRPr="00FF73C1">
        <w:rPr>
          <w:sz w:val="21"/>
          <w:szCs w:val="21"/>
        </w:rPr>
        <w:t xml:space="preserve"> for renewals</w:t>
      </w:r>
      <w:r w:rsidR="00F3026A" w:rsidRPr="00FF73C1">
        <w:rPr>
          <w:sz w:val="21"/>
          <w:szCs w:val="21"/>
        </w:rPr>
        <w:t>.</w:t>
      </w:r>
    </w:p>
    <w:p w14:paraId="7E605821" w14:textId="0B8E610D" w:rsidR="00A77B53" w:rsidRDefault="00A77B53" w:rsidP="00A77B53">
      <w:pPr>
        <w:rPr>
          <w:sz w:val="21"/>
          <w:szCs w:val="21"/>
        </w:rPr>
      </w:pPr>
    </w:p>
    <w:p w14:paraId="702DDA48" w14:textId="77777777" w:rsidR="00CC6F17" w:rsidRPr="00FF73C1" w:rsidRDefault="00CC6F17" w:rsidP="00A77B53">
      <w:pPr>
        <w:rPr>
          <w:sz w:val="21"/>
          <w:szCs w:val="21"/>
        </w:rPr>
      </w:pPr>
    </w:p>
    <w:p w14:paraId="1F052436" w14:textId="7D441DE9" w:rsidR="00A77B53" w:rsidRPr="00FB0CD0" w:rsidRDefault="00FB0CD0" w:rsidP="00A77B53">
      <w:pPr>
        <w:rPr>
          <w:b/>
          <w:bCs/>
          <w:sz w:val="21"/>
          <w:szCs w:val="21"/>
          <w:u w:val="single"/>
        </w:rPr>
      </w:pPr>
      <w:r w:rsidRPr="00FB0CD0">
        <w:rPr>
          <w:b/>
          <w:bCs/>
          <w:sz w:val="21"/>
          <w:szCs w:val="21"/>
          <w:u w:val="single"/>
        </w:rPr>
        <w:t>THE PROBLEM</w:t>
      </w:r>
    </w:p>
    <w:p w14:paraId="1585783C" w14:textId="3C625FC0" w:rsidR="00F3026A" w:rsidRPr="00FF73C1" w:rsidRDefault="00F3026A" w:rsidP="00A77B53">
      <w:pPr>
        <w:rPr>
          <w:sz w:val="21"/>
          <w:szCs w:val="21"/>
        </w:rPr>
      </w:pPr>
    </w:p>
    <w:p w14:paraId="25002D4E" w14:textId="1FBF2DB4" w:rsidR="00F3026A" w:rsidRPr="00FF73C1" w:rsidRDefault="00F3026A" w:rsidP="00A77B53">
      <w:pPr>
        <w:rPr>
          <w:sz w:val="21"/>
          <w:szCs w:val="21"/>
        </w:rPr>
      </w:pPr>
      <w:r w:rsidRPr="00FF73C1">
        <w:rPr>
          <w:sz w:val="21"/>
          <w:szCs w:val="21"/>
        </w:rPr>
        <w:t>When an owner applies for a licence (or a renewal) they will not know –</w:t>
      </w:r>
    </w:p>
    <w:p w14:paraId="00BD63D1" w14:textId="680A518E" w:rsidR="00F3026A" w:rsidRPr="00FF73C1" w:rsidRDefault="00F3026A" w:rsidP="00A77B53">
      <w:pPr>
        <w:rPr>
          <w:sz w:val="21"/>
          <w:szCs w:val="21"/>
        </w:rPr>
      </w:pPr>
    </w:p>
    <w:p w14:paraId="6EE7A161" w14:textId="36820724" w:rsidR="00F3026A" w:rsidRPr="00FF73C1" w:rsidRDefault="00125722" w:rsidP="00F3026A">
      <w:pPr>
        <w:pStyle w:val="ListParagraph"/>
        <w:numPr>
          <w:ilvl w:val="0"/>
          <w:numId w:val="2"/>
        </w:numPr>
        <w:rPr>
          <w:sz w:val="21"/>
          <w:szCs w:val="21"/>
        </w:rPr>
      </w:pPr>
      <w:r w:rsidRPr="00FF73C1">
        <w:rPr>
          <w:sz w:val="21"/>
          <w:szCs w:val="21"/>
        </w:rPr>
        <w:t>i</w:t>
      </w:r>
      <w:r w:rsidR="00F3026A" w:rsidRPr="00FF73C1">
        <w:rPr>
          <w:sz w:val="21"/>
          <w:szCs w:val="21"/>
        </w:rPr>
        <w:t>f it will be granted</w:t>
      </w:r>
      <w:r w:rsidRPr="00FF73C1">
        <w:rPr>
          <w:sz w:val="21"/>
          <w:szCs w:val="21"/>
        </w:rPr>
        <w:t xml:space="preserve"> or refused</w:t>
      </w:r>
    </w:p>
    <w:p w14:paraId="3AE5CF72" w14:textId="2CE1CCAC" w:rsidR="00F3026A" w:rsidRPr="00FF73C1" w:rsidRDefault="00125722" w:rsidP="00F3026A">
      <w:pPr>
        <w:pStyle w:val="ListParagraph"/>
        <w:numPr>
          <w:ilvl w:val="0"/>
          <w:numId w:val="2"/>
        </w:numPr>
        <w:rPr>
          <w:sz w:val="21"/>
          <w:szCs w:val="21"/>
        </w:rPr>
      </w:pPr>
      <w:r w:rsidRPr="00FF73C1">
        <w:rPr>
          <w:sz w:val="21"/>
          <w:szCs w:val="21"/>
        </w:rPr>
        <w:t>h</w:t>
      </w:r>
      <w:r w:rsidR="00F3026A" w:rsidRPr="00FF73C1">
        <w:rPr>
          <w:sz w:val="21"/>
          <w:szCs w:val="21"/>
        </w:rPr>
        <w:t>ow long the application will take</w:t>
      </w:r>
    </w:p>
    <w:p w14:paraId="23E43073" w14:textId="62E22312" w:rsidR="00F3026A" w:rsidRPr="00FF73C1" w:rsidRDefault="00F3026A" w:rsidP="00F3026A">
      <w:pPr>
        <w:rPr>
          <w:sz w:val="21"/>
          <w:szCs w:val="21"/>
        </w:rPr>
      </w:pPr>
    </w:p>
    <w:p w14:paraId="1868633A" w14:textId="4379CEAF" w:rsidR="003C5B35" w:rsidRPr="00FF73C1" w:rsidRDefault="003C5B35" w:rsidP="00F3026A">
      <w:pPr>
        <w:rPr>
          <w:sz w:val="21"/>
          <w:szCs w:val="21"/>
        </w:rPr>
      </w:pPr>
      <w:r w:rsidRPr="000678C6">
        <w:rPr>
          <w:b/>
          <w:sz w:val="21"/>
          <w:szCs w:val="21"/>
        </w:rPr>
        <w:t xml:space="preserve">Refusal is a real not </w:t>
      </w:r>
      <w:r w:rsidR="00125722" w:rsidRPr="000678C6">
        <w:rPr>
          <w:b/>
          <w:sz w:val="21"/>
          <w:szCs w:val="21"/>
        </w:rPr>
        <w:t>theoretical</w:t>
      </w:r>
      <w:r w:rsidRPr="000678C6">
        <w:rPr>
          <w:b/>
          <w:sz w:val="21"/>
          <w:szCs w:val="21"/>
        </w:rPr>
        <w:t xml:space="preserve"> risk</w:t>
      </w:r>
      <w:r w:rsidRPr="00FF73C1">
        <w:rPr>
          <w:sz w:val="21"/>
          <w:szCs w:val="21"/>
        </w:rPr>
        <w:t xml:space="preserve"> </w:t>
      </w:r>
      <w:r w:rsidR="00125722" w:rsidRPr="00FF73C1">
        <w:rPr>
          <w:sz w:val="21"/>
          <w:szCs w:val="21"/>
        </w:rPr>
        <w:t>– explored</w:t>
      </w:r>
      <w:r w:rsidRPr="00FF73C1">
        <w:rPr>
          <w:sz w:val="21"/>
          <w:szCs w:val="21"/>
        </w:rPr>
        <w:t xml:space="preserve"> below</w:t>
      </w:r>
      <w:r w:rsidR="000678C6">
        <w:rPr>
          <w:sz w:val="21"/>
          <w:szCs w:val="21"/>
        </w:rPr>
        <w:t>.</w:t>
      </w:r>
    </w:p>
    <w:p w14:paraId="6B422098" w14:textId="77777777" w:rsidR="00125722" w:rsidRPr="00FF73C1" w:rsidRDefault="00125722" w:rsidP="00F3026A">
      <w:pPr>
        <w:rPr>
          <w:sz w:val="21"/>
          <w:szCs w:val="21"/>
        </w:rPr>
      </w:pPr>
    </w:p>
    <w:p w14:paraId="19C3B1A5" w14:textId="0F33D7B4" w:rsidR="00F3026A" w:rsidRPr="00FF73C1" w:rsidRDefault="00F3026A" w:rsidP="00F3026A">
      <w:pPr>
        <w:rPr>
          <w:sz w:val="21"/>
          <w:szCs w:val="21"/>
        </w:rPr>
      </w:pPr>
      <w:r w:rsidRPr="00FF73C1">
        <w:rPr>
          <w:sz w:val="21"/>
          <w:szCs w:val="21"/>
        </w:rPr>
        <w:t>So that means that for a significant period before, and after, the date of the licence application either –</w:t>
      </w:r>
    </w:p>
    <w:p w14:paraId="657A9953" w14:textId="36F2B4CE" w:rsidR="00F3026A" w:rsidRPr="00FF73C1" w:rsidRDefault="00F3026A" w:rsidP="00F3026A">
      <w:pPr>
        <w:rPr>
          <w:sz w:val="21"/>
          <w:szCs w:val="21"/>
        </w:rPr>
      </w:pPr>
    </w:p>
    <w:p w14:paraId="180F0C45" w14:textId="10F1D87C" w:rsidR="00F3026A" w:rsidRPr="00FF73C1" w:rsidRDefault="00F3026A" w:rsidP="00F3026A">
      <w:pPr>
        <w:pStyle w:val="ListParagraph"/>
        <w:numPr>
          <w:ilvl w:val="0"/>
          <w:numId w:val="3"/>
        </w:numPr>
        <w:rPr>
          <w:sz w:val="21"/>
          <w:szCs w:val="21"/>
        </w:rPr>
      </w:pPr>
      <w:r w:rsidRPr="00FF73C1">
        <w:rPr>
          <w:sz w:val="21"/>
          <w:szCs w:val="21"/>
        </w:rPr>
        <w:t>Future bookings will need to be conditional on a licence being obtained, failing which the owner can cancel without penalty</w:t>
      </w:r>
    </w:p>
    <w:p w14:paraId="62BE3B5B" w14:textId="78F83C20" w:rsidR="00563D08" w:rsidRPr="00FF73C1" w:rsidRDefault="00563D08" w:rsidP="00563D08">
      <w:pPr>
        <w:pStyle w:val="ListParagraph"/>
        <w:numPr>
          <w:ilvl w:val="0"/>
          <w:numId w:val="3"/>
        </w:numPr>
        <w:rPr>
          <w:sz w:val="21"/>
          <w:szCs w:val="21"/>
        </w:rPr>
      </w:pPr>
      <w:r w:rsidRPr="00FF73C1">
        <w:rPr>
          <w:sz w:val="21"/>
          <w:szCs w:val="21"/>
        </w:rPr>
        <w:t>Owners will have to take the risk of cancellation</w:t>
      </w:r>
    </w:p>
    <w:p w14:paraId="7771590B" w14:textId="77777777" w:rsidR="00563D08" w:rsidRPr="00FF73C1" w:rsidRDefault="00563D08" w:rsidP="00563D08">
      <w:pPr>
        <w:rPr>
          <w:sz w:val="21"/>
          <w:szCs w:val="21"/>
        </w:rPr>
      </w:pPr>
    </w:p>
    <w:p w14:paraId="3BE165D0" w14:textId="6D9B884F" w:rsidR="00563D08" w:rsidRPr="00FF73C1" w:rsidRDefault="00563D08" w:rsidP="00563D08">
      <w:pPr>
        <w:rPr>
          <w:sz w:val="21"/>
          <w:szCs w:val="21"/>
        </w:rPr>
      </w:pPr>
      <w:r w:rsidRPr="00FF73C1">
        <w:rPr>
          <w:sz w:val="21"/>
          <w:szCs w:val="21"/>
        </w:rPr>
        <w:lastRenderedPageBreak/>
        <w:t>Owners taking the risk would be quite unacceptable: it would be dishonest, it would lead to potential legal claims for breach of contract and would do serious reputational damage to the Scottish tourist industry.</w:t>
      </w:r>
    </w:p>
    <w:p w14:paraId="02C92116" w14:textId="7906E922" w:rsidR="00A53904" w:rsidRPr="00FF73C1" w:rsidRDefault="00A53904" w:rsidP="00563D08">
      <w:pPr>
        <w:rPr>
          <w:sz w:val="21"/>
          <w:szCs w:val="21"/>
        </w:rPr>
      </w:pPr>
    </w:p>
    <w:p w14:paraId="1E71B5A9" w14:textId="77777777" w:rsidR="00D17F37" w:rsidRPr="00FF73C1" w:rsidRDefault="00A53904" w:rsidP="00D17F37">
      <w:pPr>
        <w:rPr>
          <w:sz w:val="21"/>
          <w:szCs w:val="21"/>
        </w:rPr>
      </w:pPr>
      <w:r w:rsidRPr="00FF73C1">
        <w:rPr>
          <w:sz w:val="21"/>
          <w:szCs w:val="21"/>
        </w:rPr>
        <w:t xml:space="preserve">That leaves making bookings conditional on a licence being granted. </w:t>
      </w:r>
      <w:r w:rsidR="00D17F37" w:rsidRPr="00FF73C1">
        <w:rPr>
          <w:sz w:val="21"/>
          <w:szCs w:val="21"/>
        </w:rPr>
        <w:t>This is the solution suggested by the Scottish Government –</w:t>
      </w:r>
    </w:p>
    <w:p w14:paraId="0B52D968" w14:textId="77777777" w:rsidR="00D17F37" w:rsidRPr="00FF73C1" w:rsidRDefault="00D17F37" w:rsidP="00D17F37">
      <w:pPr>
        <w:rPr>
          <w:sz w:val="21"/>
          <w:szCs w:val="21"/>
        </w:rPr>
      </w:pPr>
    </w:p>
    <w:p w14:paraId="34D6974F" w14:textId="2A1BDC97" w:rsidR="00D17F37" w:rsidRPr="00FB0CD0" w:rsidRDefault="00D17F37" w:rsidP="001932EE">
      <w:pPr>
        <w:ind w:left="720"/>
        <w:rPr>
          <w:i/>
          <w:iCs/>
          <w:sz w:val="21"/>
          <w:szCs w:val="21"/>
        </w:rPr>
      </w:pPr>
      <w:r w:rsidRPr="00FF73C1">
        <w:rPr>
          <w:i/>
          <w:iCs/>
          <w:sz w:val="21"/>
          <w:szCs w:val="21"/>
        </w:rPr>
        <w:t>“With regard to the handling of bookings, please see paragraph 7.15 of the consultation report. We would expect the position in respect of refunds etc. for future bookings affected by refusal, suspension or revocation of a licence to be covered by booking terms and conditions in the same way as any other scenario in which the accommodation becomes unexpectedly unavailable, such as through fire damage or flood</w:t>
      </w:r>
      <w:r w:rsidR="00CC6F17">
        <w:rPr>
          <w:i/>
          <w:iCs/>
          <w:sz w:val="21"/>
          <w:szCs w:val="21"/>
        </w:rPr>
        <w:t>.</w:t>
      </w:r>
      <w:r w:rsidRPr="00FF73C1">
        <w:rPr>
          <w:i/>
          <w:iCs/>
          <w:sz w:val="21"/>
          <w:szCs w:val="21"/>
        </w:rPr>
        <w:t xml:space="preserve">”  </w:t>
      </w:r>
      <w:r w:rsidRPr="00FF73C1">
        <w:rPr>
          <w:sz w:val="21"/>
          <w:szCs w:val="21"/>
        </w:rPr>
        <w:t>Kevin Stewart MSP, Minster for Local Government, Housing and Planning. 11 Dec 2020 letter to Willie Rennie MSP</w:t>
      </w:r>
    </w:p>
    <w:p w14:paraId="316770D7" w14:textId="77777777" w:rsidR="00D17F37" w:rsidRPr="00FF73C1" w:rsidRDefault="00D17F37" w:rsidP="00563D08">
      <w:pPr>
        <w:rPr>
          <w:sz w:val="21"/>
          <w:szCs w:val="21"/>
        </w:rPr>
      </w:pPr>
    </w:p>
    <w:p w14:paraId="3BD710C5" w14:textId="08B21226" w:rsidR="00A53904" w:rsidRDefault="00A53904" w:rsidP="00563D08">
      <w:pPr>
        <w:rPr>
          <w:sz w:val="21"/>
          <w:szCs w:val="21"/>
        </w:rPr>
      </w:pPr>
      <w:r w:rsidRPr="00091444">
        <w:rPr>
          <w:b/>
          <w:sz w:val="21"/>
          <w:szCs w:val="21"/>
        </w:rPr>
        <w:t>T</w:t>
      </w:r>
      <w:r w:rsidR="00091444" w:rsidRPr="00091444">
        <w:rPr>
          <w:b/>
          <w:sz w:val="21"/>
          <w:szCs w:val="21"/>
        </w:rPr>
        <w:t>his</w:t>
      </w:r>
      <w:r w:rsidRPr="00091444">
        <w:rPr>
          <w:b/>
          <w:sz w:val="21"/>
          <w:szCs w:val="21"/>
        </w:rPr>
        <w:t xml:space="preserve"> is contractually perfectly possible but commercially totally impractical</w:t>
      </w:r>
      <w:r w:rsidR="00D17F37" w:rsidRPr="00091444">
        <w:rPr>
          <w:b/>
          <w:sz w:val="21"/>
          <w:szCs w:val="21"/>
        </w:rPr>
        <w:t xml:space="preserve"> and unfortunately betrays the lack of practical understanding by the team working on the Order of the way in which the self-catering industry operates in the real world</w:t>
      </w:r>
      <w:r w:rsidR="00D17F37" w:rsidRPr="00FF73C1">
        <w:rPr>
          <w:sz w:val="21"/>
          <w:szCs w:val="21"/>
        </w:rPr>
        <w:t xml:space="preserve">. </w:t>
      </w:r>
      <w:r w:rsidR="004F6D1B" w:rsidRPr="00FF73C1">
        <w:rPr>
          <w:sz w:val="21"/>
          <w:szCs w:val="21"/>
        </w:rPr>
        <w:t>Fire damage and flood are statistically very unlikely</w:t>
      </w:r>
      <w:r w:rsidR="00D17F37" w:rsidRPr="00FF73C1">
        <w:rPr>
          <w:sz w:val="21"/>
          <w:szCs w:val="21"/>
        </w:rPr>
        <w:t xml:space="preserve"> </w:t>
      </w:r>
      <w:r w:rsidR="004F6D1B" w:rsidRPr="00FF73C1">
        <w:rPr>
          <w:sz w:val="21"/>
          <w:szCs w:val="21"/>
        </w:rPr>
        <w:t xml:space="preserve">and are risks potential guest are well aware of. </w:t>
      </w:r>
      <w:r w:rsidR="00CC6F17">
        <w:rPr>
          <w:sz w:val="21"/>
          <w:szCs w:val="21"/>
        </w:rPr>
        <w:t>W</w:t>
      </w:r>
      <w:r w:rsidRPr="00FF73C1">
        <w:rPr>
          <w:sz w:val="21"/>
          <w:szCs w:val="21"/>
        </w:rPr>
        <w:t>hy would anyone book a holiday at a key time of year that the owner can cancel without penalty</w:t>
      </w:r>
      <w:r w:rsidR="004F6D1B" w:rsidRPr="00FF73C1">
        <w:rPr>
          <w:sz w:val="21"/>
          <w:szCs w:val="21"/>
        </w:rPr>
        <w:t>,</w:t>
      </w:r>
      <w:r w:rsidRPr="00FF73C1">
        <w:rPr>
          <w:sz w:val="21"/>
          <w:szCs w:val="21"/>
        </w:rPr>
        <w:t xml:space="preserve"> leaving them potentially too late to find an alternative</w:t>
      </w:r>
      <w:r w:rsidR="004F6D1B" w:rsidRPr="00FF73C1">
        <w:rPr>
          <w:sz w:val="21"/>
          <w:szCs w:val="21"/>
        </w:rPr>
        <w:t>, if they don’t get a licence</w:t>
      </w:r>
      <w:r w:rsidRPr="00FF73C1">
        <w:rPr>
          <w:sz w:val="21"/>
          <w:szCs w:val="21"/>
        </w:rPr>
        <w:t xml:space="preserve">? </w:t>
      </w:r>
      <w:r w:rsidR="004F6D1B" w:rsidRPr="00DD24EE">
        <w:rPr>
          <w:b/>
          <w:sz w:val="21"/>
          <w:szCs w:val="21"/>
        </w:rPr>
        <w:t>How can potential guest be in a position to take view on untested risk that the business owner can’t even quantify?</w:t>
      </w:r>
      <w:r w:rsidR="004F6D1B" w:rsidRPr="00FF73C1">
        <w:rPr>
          <w:sz w:val="21"/>
          <w:szCs w:val="21"/>
        </w:rPr>
        <w:t xml:space="preserve"> Much easier surely to </w:t>
      </w:r>
      <w:r w:rsidRPr="00FF73C1">
        <w:rPr>
          <w:sz w:val="21"/>
          <w:szCs w:val="21"/>
        </w:rPr>
        <w:t xml:space="preserve">cross the border in nearby </w:t>
      </w:r>
      <w:r w:rsidR="00D17F37" w:rsidRPr="00FF73C1">
        <w:rPr>
          <w:sz w:val="21"/>
          <w:szCs w:val="21"/>
        </w:rPr>
        <w:t>Northumberland</w:t>
      </w:r>
      <w:r w:rsidRPr="00FF73C1">
        <w:rPr>
          <w:sz w:val="21"/>
          <w:szCs w:val="21"/>
        </w:rPr>
        <w:t xml:space="preserve"> and the Lake District </w:t>
      </w:r>
      <w:r w:rsidR="004F6D1B" w:rsidRPr="00FF73C1">
        <w:rPr>
          <w:sz w:val="21"/>
          <w:szCs w:val="21"/>
        </w:rPr>
        <w:t xml:space="preserve">where </w:t>
      </w:r>
      <w:r w:rsidRPr="00FF73C1">
        <w:rPr>
          <w:sz w:val="21"/>
          <w:szCs w:val="21"/>
        </w:rPr>
        <w:t xml:space="preserve">no such conditions apply. </w:t>
      </w:r>
    </w:p>
    <w:p w14:paraId="326EF5CD" w14:textId="65D88393" w:rsidR="00AC4364" w:rsidRDefault="00AC4364" w:rsidP="00563D08">
      <w:pPr>
        <w:rPr>
          <w:sz w:val="21"/>
          <w:szCs w:val="21"/>
        </w:rPr>
      </w:pPr>
    </w:p>
    <w:p w14:paraId="3E3C90E5" w14:textId="7CD4D194" w:rsidR="00AC4364" w:rsidRPr="00FF73C1" w:rsidRDefault="00AC4364" w:rsidP="00563D08">
      <w:pPr>
        <w:rPr>
          <w:sz w:val="21"/>
          <w:szCs w:val="21"/>
        </w:rPr>
      </w:pPr>
      <w:r>
        <w:rPr>
          <w:noProof/>
          <w:sz w:val="21"/>
          <w:szCs w:val="21"/>
        </w:rPr>
        <w:drawing>
          <wp:inline distT="0" distB="0" distL="0" distR="0" wp14:anchorId="0B791786" wp14:editId="50654ED4">
            <wp:extent cx="5727700" cy="378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ic.pdf"/>
                    <pic:cNvPicPr/>
                  </pic:nvPicPr>
                  <pic:blipFill>
                    <a:blip r:embed="rId8">
                      <a:extLst>
                        <a:ext uri="{28A0092B-C50C-407E-A947-70E740481C1C}">
                          <a14:useLocalDpi xmlns:a14="http://schemas.microsoft.com/office/drawing/2010/main" val="0"/>
                        </a:ext>
                      </a:extLst>
                    </a:blip>
                    <a:stretch>
                      <a:fillRect/>
                    </a:stretch>
                  </pic:blipFill>
                  <pic:spPr>
                    <a:xfrm>
                      <a:off x="0" y="0"/>
                      <a:ext cx="5727700" cy="3787775"/>
                    </a:xfrm>
                    <a:prstGeom prst="rect">
                      <a:avLst/>
                    </a:prstGeom>
                  </pic:spPr>
                </pic:pic>
              </a:graphicData>
            </a:graphic>
          </wp:inline>
        </w:drawing>
      </w:r>
    </w:p>
    <w:p w14:paraId="31AA9428" w14:textId="2664E85A" w:rsidR="004F6D1B" w:rsidRPr="00204B36" w:rsidRDefault="00204B36" w:rsidP="00A53904">
      <w:pPr>
        <w:rPr>
          <w:b/>
          <w:iCs/>
          <w:sz w:val="21"/>
          <w:szCs w:val="21"/>
        </w:rPr>
      </w:pPr>
      <w:r w:rsidRPr="00204B36">
        <w:rPr>
          <w:b/>
          <w:iCs/>
          <w:sz w:val="21"/>
          <w:szCs w:val="21"/>
        </w:rPr>
        <w:t>Worked Example</w:t>
      </w:r>
      <w:r w:rsidR="001D43C7" w:rsidRPr="00204B36">
        <w:rPr>
          <w:rStyle w:val="FootnoteReference"/>
          <w:b/>
          <w:iCs/>
          <w:sz w:val="21"/>
          <w:szCs w:val="21"/>
        </w:rPr>
        <w:footnoteReference w:id="2"/>
      </w:r>
    </w:p>
    <w:p w14:paraId="12DA7AC0" w14:textId="77777777" w:rsidR="004F6D1B" w:rsidRPr="00FF73C1" w:rsidRDefault="004F6D1B" w:rsidP="00A53904">
      <w:pPr>
        <w:rPr>
          <w:sz w:val="21"/>
          <w:szCs w:val="21"/>
        </w:rPr>
      </w:pPr>
    </w:p>
    <w:p w14:paraId="1F97B142" w14:textId="4F4E5F00" w:rsidR="005D1A1B" w:rsidRPr="00FF73C1" w:rsidRDefault="00D17F37" w:rsidP="00563D08">
      <w:pPr>
        <w:rPr>
          <w:sz w:val="21"/>
          <w:szCs w:val="21"/>
        </w:rPr>
      </w:pPr>
      <w:r w:rsidRPr="00FF73C1">
        <w:rPr>
          <w:sz w:val="21"/>
          <w:szCs w:val="21"/>
        </w:rPr>
        <w:t>I</w:t>
      </w:r>
      <w:r w:rsidR="00A53904" w:rsidRPr="00FF73C1">
        <w:rPr>
          <w:sz w:val="21"/>
          <w:szCs w:val="21"/>
        </w:rPr>
        <w:t>f an initial licence application is made in March 2023</w:t>
      </w:r>
      <w:r w:rsidR="004F6D1B" w:rsidRPr="00FF73C1">
        <w:rPr>
          <w:sz w:val="21"/>
          <w:szCs w:val="21"/>
        </w:rPr>
        <w:t xml:space="preserve"> (the prudent time to apply given that licence granting is not automatic and owners will wish to minimise their losses by running their, </w:t>
      </w:r>
      <w:proofErr w:type="spellStart"/>
      <w:r w:rsidR="004F6D1B" w:rsidRPr="00FF73C1">
        <w:rPr>
          <w:sz w:val="21"/>
          <w:szCs w:val="21"/>
        </w:rPr>
        <w:t>Covid</w:t>
      </w:r>
      <w:proofErr w:type="spellEnd"/>
      <w:r w:rsidR="004F6D1B" w:rsidRPr="00FF73C1">
        <w:rPr>
          <w:sz w:val="21"/>
          <w:szCs w:val="21"/>
        </w:rPr>
        <w:t xml:space="preserve"> damaged, businesses as long as they can)</w:t>
      </w:r>
      <w:r w:rsidR="00A53904" w:rsidRPr="00FF73C1">
        <w:rPr>
          <w:sz w:val="21"/>
          <w:szCs w:val="21"/>
        </w:rPr>
        <w:t>, this period of uncertainty could last until</w:t>
      </w:r>
      <w:r w:rsidR="00E10D08" w:rsidRPr="00FF73C1">
        <w:rPr>
          <w:sz w:val="21"/>
          <w:szCs w:val="21"/>
        </w:rPr>
        <w:t xml:space="preserve"> </w:t>
      </w:r>
      <w:r w:rsidR="00A53904" w:rsidRPr="00FF73C1">
        <w:rPr>
          <w:sz w:val="21"/>
          <w:szCs w:val="21"/>
        </w:rPr>
        <w:t>March 2024.</w:t>
      </w:r>
      <w:r w:rsidRPr="00FF73C1">
        <w:rPr>
          <w:sz w:val="21"/>
          <w:szCs w:val="21"/>
        </w:rPr>
        <w:t xml:space="preserve"> The reality is many guests book up to 12 months in advance, especially for the summer, Christmas and Easter. That means that bookings would for </w:t>
      </w:r>
      <w:r w:rsidR="00C83F29" w:rsidRPr="00FF73C1">
        <w:rPr>
          <w:sz w:val="21"/>
          <w:szCs w:val="21"/>
        </w:rPr>
        <w:t>post</w:t>
      </w:r>
      <w:r w:rsidRPr="00FF73C1">
        <w:rPr>
          <w:sz w:val="21"/>
          <w:szCs w:val="21"/>
        </w:rPr>
        <w:t xml:space="preserve"> 1 April 2023 </w:t>
      </w:r>
      <w:r w:rsidR="00C83F29" w:rsidRPr="00FF73C1">
        <w:rPr>
          <w:sz w:val="21"/>
          <w:szCs w:val="21"/>
        </w:rPr>
        <w:t xml:space="preserve">bookings </w:t>
      </w:r>
      <w:r w:rsidR="004F6D1B" w:rsidRPr="00FF73C1">
        <w:rPr>
          <w:sz w:val="21"/>
          <w:szCs w:val="21"/>
        </w:rPr>
        <w:t>would start from summer 2022</w:t>
      </w:r>
      <w:r w:rsidR="00C83F29" w:rsidRPr="00FF73C1">
        <w:rPr>
          <w:sz w:val="21"/>
          <w:szCs w:val="21"/>
        </w:rPr>
        <w:t>,</w:t>
      </w:r>
      <w:r w:rsidR="004F6D1B" w:rsidRPr="00FF73C1">
        <w:rPr>
          <w:sz w:val="21"/>
          <w:szCs w:val="21"/>
        </w:rPr>
        <w:t xml:space="preserve"> </w:t>
      </w:r>
      <w:r w:rsidRPr="00FF73C1">
        <w:rPr>
          <w:sz w:val="21"/>
          <w:szCs w:val="21"/>
        </w:rPr>
        <w:t xml:space="preserve">and would </w:t>
      </w:r>
      <w:r w:rsidR="00C83F29" w:rsidRPr="00FF73C1">
        <w:rPr>
          <w:sz w:val="21"/>
          <w:szCs w:val="21"/>
        </w:rPr>
        <w:t xml:space="preserve">all </w:t>
      </w:r>
      <w:r w:rsidRPr="00FF73C1">
        <w:rPr>
          <w:sz w:val="21"/>
          <w:szCs w:val="21"/>
        </w:rPr>
        <w:t xml:space="preserve">have to be </w:t>
      </w:r>
      <w:r w:rsidR="00C83F29" w:rsidRPr="00FF73C1">
        <w:rPr>
          <w:sz w:val="21"/>
          <w:szCs w:val="21"/>
        </w:rPr>
        <w:t>legally</w:t>
      </w:r>
      <w:r w:rsidRPr="00FF73C1">
        <w:rPr>
          <w:sz w:val="21"/>
          <w:szCs w:val="21"/>
        </w:rPr>
        <w:t xml:space="preserve"> conditional on a licence being granted. This </w:t>
      </w:r>
      <w:r w:rsidR="00C83F29" w:rsidRPr="00FF73C1">
        <w:rPr>
          <w:sz w:val="21"/>
          <w:szCs w:val="21"/>
        </w:rPr>
        <w:t>uncertainty could</w:t>
      </w:r>
      <w:r w:rsidRPr="00FF73C1">
        <w:rPr>
          <w:sz w:val="21"/>
          <w:szCs w:val="21"/>
        </w:rPr>
        <w:t xml:space="preserve"> continue until March 2024 </w:t>
      </w:r>
      <w:r w:rsidR="00C83F29" w:rsidRPr="00FF73C1">
        <w:rPr>
          <w:sz w:val="21"/>
          <w:szCs w:val="21"/>
        </w:rPr>
        <w:t>by which time many</w:t>
      </w:r>
      <w:r w:rsidRPr="00FF73C1">
        <w:rPr>
          <w:sz w:val="21"/>
          <w:szCs w:val="21"/>
        </w:rPr>
        <w:t xml:space="preserve"> bookings </w:t>
      </w:r>
      <w:r w:rsidR="00C83F29" w:rsidRPr="00FF73C1">
        <w:rPr>
          <w:sz w:val="21"/>
          <w:szCs w:val="21"/>
        </w:rPr>
        <w:t xml:space="preserve">would normally be </w:t>
      </w:r>
      <w:r w:rsidRPr="00FF73C1">
        <w:rPr>
          <w:sz w:val="21"/>
          <w:szCs w:val="21"/>
        </w:rPr>
        <w:t xml:space="preserve">made for summer 2024 and </w:t>
      </w:r>
      <w:r w:rsidR="00C83F29" w:rsidRPr="00FF73C1">
        <w:rPr>
          <w:sz w:val="21"/>
          <w:szCs w:val="21"/>
        </w:rPr>
        <w:t xml:space="preserve">even </w:t>
      </w:r>
      <w:r w:rsidRPr="00FF73C1">
        <w:rPr>
          <w:sz w:val="21"/>
          <w:szCs w:val="21"/>
        </w:rPr>
        <w:t xml:space="preserve">Christmas/New Year </w:t>
      </w:r>
      <w:r w:rsidRPr="00FF73C1">
        <w:rPr>
          <w:sz w:val="21"/>
          <w:szCs w:val="21"/>
        </w:rPr>
        <w:lastRenderedPageBreak/>
        <w:t xml:space="preserve">2024/5. </w:t>
      </w:r>
      <w:r w:rsidR="00F26876" w:rsidRPr="00FF73C1">
        <w:rPr>
          <w:sz w:val="21"/>
          <w:szCs w:val="21"/>
        </w:rPr>
        <w:t>So</w:t>
      </w:r>
      <w:r w:rsidR="00D9384F">
        <w:rPr>
          <w:sz w:val="21"/>
          <w:szCs w:val="21"/>
        </w:rPr>
        <w:t>,</w:t>
      </w:r>
      <w:r w:rsidR="00F26876" w:rsidRPr="00FF73C1">
        <w:rPr>
          <w:sz w:val="21"/>
          <w:szCs w:val="21"/>
        </w:rPr>
        <w:t xml:space="preserve"> for a period of up to, potentially, 2</w:t>
      </w:r>
      <w:r w:rsidR="00D533FA" w:rsidRPr="00FF73C1">
        <w:rPr>
          <w:sz w:val="21"/>
          <w:szCs w:val="21"/>
        </w:rPr>
        <w:t>0</w:t>
      </w:r>
      <w:r w:rsidR="00F26876" w:rsidRPr="00FF73C1">
        <w:rPr>
          <w:sz w:val="21"/>
          <w:szCs w:val="21"/>
        </w:rPr>
        <w:t xml:space="preserve"> months from summer 2022 the owner would be </w:t>
      </w:r>
      <w:proofErr w:type="gramStart"/>
      <w:r w:rsidR="00C83F29" w:rsidRPr="00FF73C1">
        <w:rPr>
          <w:sz w:val="21"/>
          <w:szCs w:val="21"/>
        </w:rPr>
        <w:t>have</w:t>
      </w:r>
      <w:proofErr w:type="gramEnd"/>
      <w:r w:rsidR="00C83F29" w:rsidRPr="00FF73C1">
        <w:rPr>
          <w:sz w:val="21"/>
          <w:szCs w:val="21"/>
        </w:rPr>
        <w:t xml:space="preserve"> to make</w:t>
      </w:r>
      <w:r w:rsidR="00F26876" w:rsidRPr="00FF73C1">
        <w:rPr>
          <w:sz w:val="21"/>
          <w:szCs w:val="21"/>
        </w:rPr>
        <w:t xml:space="preserve"> some </w:t>
      </w:r>
      <w:r w:rsidR="00C83F29" w:rsidRPr="00FF73C1">
        <w:rPr>
          <w:sz w:val="21"/>
          <w:szCs w:val="21"/>
        </w:rPr>
        <w:t xml:space="preserve">bookings </w:t>
      </w:r>
      <w:r w:rsidR="00F26876" w:rsidRPr="00FF73C1">
        <w:rPr>
          <w:sz w:val="21"/>
          <w:szCs w:val="21"/>
        </w:rPr>
        <w:t>(those made before March 2023 but for post 1 April stays), then eventually all</w:t>
      </w:r>
      <w:r w:rsidR="00C83F29" w:rsidRPr="00FF73C1">
        <w:rPr>
          <w:sz w:val="21"/>
          <w:szCs w:val="21"/>
        </w:rPr>
        <w:t xml:space="preserve"> bookings</w:t>
      </w:r>
      <w:r w:rsidR="00F26876" w:rsidRPr="00FF73C1">
        <w:rPr>
          <w:sz w:val="21"/>
          <w:szCs w:val="21"/>
        </w:rPr>
        <w:t xml:space="preserve"> (post 1 April) conditional on a licence being granted. </w:t>
      </w:r>
      <w:r w:rsidR="005119E3">
        <w:rPr>
          <w:sz w:val="21"/>
          <w:szCs w:val="21"/>
        </w:rPr>
        <w:t>U</w:t>
      </w:r>
      <w:r w:rsidR="00F26876" w:rsidRPr="00FF73C1">
        <w:rPr>
          <w:sz w:val="21"/>
          <w:szCs w:val="21"/>
        </w:rPr>
        <w:t>nless (</w:t>
      </w:r>
      <w:r w:rsidR="00E10D08" w:rsidRPr="00FF73C1">
        <w:rPr>
          <w:sz w:val="21"/>
          <w:szCs w:val="21"/>
        </w:rPr>
        <w:t>highly</w:t>
      </w:r>
      <w:r w:rsidR="00F26876" w:rsidRPr="00FF73C1">
        <w:rPr>
          <w:sz w:val="21"/>
          <w:szCs w:val="21"/>
        </w:rPr>
        <w:t xml:space="preserve"> unlikely) </w:t>
      </w:r>
      <w:r w:rsidR="00C83F29" w:rsidRPr="00FF73C1">
        <w:rPr>
          <w:sz w:val="21"/>
          <w:szCs w:val="21"/>
        </w:rPr>
        <w:t>the</w:t>
      </w:r>
      <w:r w:rsidR="00E10D08" w:rsidRPr="00FF73C1">
        <w:rPr>
          <w:sz w:val="21"/>
          <w:szCs w:val="21"/>
        </w:rPr>
        <w:t xml:space="preserve"> licence is granted within a couple of months </w:t>
      </w:r>
      <w:r w:rsidR="00F26876" w:rsidRPr="00FF73C1">
        <w:rPr>
          <w:sz w:val="21"/>
          <w:szCs w:val="21"/>
        </w:rPr>
        <w:t xml:space="preserve">this would have implications for </w:t>
      </w:r>
      <w:r w:rsidR="00E10D08" w:rsidRPr="00FF73C1">
        <w:rPr>
          <w:sz w:val="21"/>
          <w:szCs w:val="21"/>
        </w:rPr>
        <w:t xml:space="preserve">not just for one </w:t>
      </w:r>
      <w:r w:rsidR="00F26876" w:rsidRPr="00FF73C1">
        <w:rPr>
          <w:sz w:val="21"/>
          <w:szCs w:val="21"/>
        </w:rPr>
        <w:t>summer season</w:t>
      </w:r>
      <w:r w:rsidR="00E10D08" w:rsidRPr="00FF73C1">
        <w:rPr>
          <w:sz w:val="21"/>
          <w:szCs w:val="21"/>
        </w:rPr>
        <w:t xml:space="preserve"> but for 2 summer seasons</w:t>
      </w:r>
      <w:r w:rsidR="00F26876" w:rsidRPr="00FF73C1">
        <w:rPr>
          <w:sz w:val="21"/>
          <w:szCs w:val="21"/>
        </w:rPr>
        <w:t xml:space="preserve"> (2023 and 2024) and potentially the next Christmas/New Year</w:t>
      </w:r>
      <w:r w:rsidR="00E10D08" w:rsidRPr="00FF73C1">
        <w:rPr>
          <w:sz w:val="21"/>
          <w:szCs w:val="21"/>
        </w:rPr>
        <w:t xml:space="preserve">. </w:t>
      </w:r>
    </w:p>
    <w:p w14:paraId="2548A1E6" w14:textId="77777777" w:rsidR="00C83F29" w:rsidRPr="00FF73C1" w:rsidRDefault="00C83F29" w:rsidP="00563D08">
      <w:pPr>
        <w:rPr>
          <w:sz w:val="21"/>
          <w:szCs w:val="21"/>
        </w:rPr>
      </w:pPr>
    </w:p>
    <w:p w14:paraId="6D6D1008" w14:textId="5F76F906" w:rsidR="00E10D08" w:rsidRPr="00FF73C1" w:rsidRDefault="005D1A1B" w:rsidP="00563D08">
      <w:pPr>
        <w:rPr>
          <w:sz w:val="21"/>
          <w:szCs w:val="21"/>
        </w:rPr>
      </w:pPr>
      <w:r w:rsidRPr="00FF73C1">
        <w:rPr>
          <w:b/>
          <w:bCs/>
          <w:sz w:val="21"/>
          <w:szCs w:val="21"/>
        </w:rPr>
        <w:t>This is not a once and for all problem</w:t>
      </w:r>
      <w:r w:rsidRPr="00FF73C1">
        <w:rPr>
          <w:sz w:val="21"/>
          <w:szCs w:val="21"/>
        </w:rPr>
        <w:t xml:space="preserve">. Licences will be for </w:t>
      </w:r>
      <w:r w:rsidR="00C83F29" w:rsidRPr="00FF73C1">
        <w:rPr>
          <w:sz w:val="21"/>
          <w:szCs w:val="21"/>
        </w:rPr>
        <w:t>a fixed</w:t>
      </w:r>
      <w:r w:rsidRPr="00FF73C1">
        <w:rPr>
          <w:sz w:val="21"/>
          <w:szCs w:val="21"/>
        </w:rPr>
        <w:t xml:space="preserve"> period and then have to be renewed</w:t>
      </w:r>
      <w:r w:rsidR="00C83F29" w:rsidRPr="00FF73C1">
        <w:rPr>
          <w:sz w:val="21"/>
          <w:szCs w:val="21"/>
        </w:rPr>
        <w:t xml:space="preserve"> (see above)</w:t>
      </w:r>
      <w:r w:rsidR="00E10D08" w:rsidRPr="00FF73C1">
        <w:rPr>
          <w:sz w:val="21"/>
          <w:szCs w:val="21"/>
        </w:rPr>
        <w:t>, albeit the maximum period of uncertainty is reduced by 6 months as the local authority will have to decide within 6 months of the application submission date, not 12 months as in the case of the initial application.</w:t>
      </w:r>
    </w:p>
    <w:p w14:paraId="5247A78B" w14:textId="77777777" w:rsidR="00E10D08" w:rsidRPr="00FF73C1" w:rsidRDefault="00E10D08" w:rsidP="00563D08">
      <w:pPr>
        <w:rPr>
          <w:sz w:val="21"/>
          <w:szCs w:val="21"/>
        </w:rPr>
      </w:pPr>
    </w:p>
    <w:p w14:paraId="7CB509BD" w14:textId="77777777" w:rsidR="00563D08" w:rsidRPr="00FF73C1" w:rsidRDefault="00563D08" w:rsidP="00563D08">
      <w:pPr>
        <w:rPr>
          <w:b/>
          <w:bCs/>
          <w:sz w:val="21"/>
          <w:szCs w:val="21"/>
        </w:rPr>
      </w:pPr>
    </w:p>
    <w:p w14:paraId="4841EC06" w14:textId="29482F00" w:rsidR="00563D08" w:rsidRPr="00FB0CD0" w:rsidRDefault="00FB0CD0" w:rsidP="00563D08">
      <w:pPr>
        <w:rPr>
          <w:b/>
          <w:bCs/>
          <w:sz w:val="21"/>
          <w:szCs w:val="21"/>
          <w:u w:val="single"/>
        </w:rPr>
      </w:pPr>
      <w:r w:rsidRPr="00FB0CD0">
        <w:rPr>
          <w:b/>
          <w:bCs/>
          <w:sz w:val="21"/>
          <w:szCs w:val="21"/>
          <w:u w:val="single"/>
        </w:rPr>
        <w:t>RISK OF REFUSAL</w:t>
      </w:r>
    </w:p>
    <w:p w14:paraId="654C6781" w14:textId="608ED580" w:rsidR="00563D08" w:rsidRPr="00FF73C1" w:rsidRDefault="00563D08" w:rsidP="00563D08">
      <w:pPr>
        <w:rPr>
          <w:b/>
          <w:bCs/>
          <w:sz w:val="21"/>
          <w:szCs w:val="21"/>
        </w:rPr>
      </w:pPr>
    </w:p>
    <w:p w14:paraId="067EFAF8" w14:textId="55145BD8" w:rsidR="001F586B" w:rsidRPr="005119E3" w:rsidRDefault="003F1236" w:rsidP="005119E3">
      <w:pPr>
        <w:rPr>
          <w:sz w:val="21"/>
          <w:szCs w:val="21"/>
        </w:rPr>
      </w:pPr>
      <w:r w:rsidRPr="005119E3">
        <w:rPr>
          <w:sz w:val="21"/>
          <w:szCs w:val="21"/>
        </w:rPr>
        <w:t xml:space="preserve">This is </w:t>
      </w:r>
      <w:r w:rsidR="001F586B" w:rsidRPr="005119E3">
        <w:rPr>
          <w:sz w:val="21"/>
          <w:szCs w:val="21"/>
        </w:rPr>
        <w:t xml:space="preserve">a very </w:t>
      </w:r>
      <w:r w:rsidRPr="005119E3">
        <w:rPr>
          <w:sz w:val="21"/>
          <w:szCs w:val="21"/>
        </w:rPr>
        <w:t>real risk</w:t>
      </w:r>
      <w:r w:rsidR="000F2510">
        <w:rPr>
          <w:sz w:val="21"/>
          <w:szCs w:val="21"/>
        </w:rPr>
        <w:t>, as t</w:t>
      </w:r>
      <w:r w:rsidR="001F586B" w:rsidRPr="005119E3">
        <w:rPr>
          <w:sz w:val="21"/>
          <w:szCs w:val="21"/>
        </w:rPr>
        <w:t>here are many reasons a licence could be refused</w:t>
      </w:r>
      <w:r w:rsidR="005119E3">
        <w:rPr>
          <w:sz w:val="21"/>
          <w:szCs w:val="21"/>
        </w:rPr>
        <w:t>:</w:t>
      </w:r>
    </w:p>
    <w:p w14:paraId="1A117993" w14:textId="77777777" w:rsidR="001F586B" w:rsidRPr="005119E3" w:rsidRDefault="001F586B" w:rsidP="005119E3">
      <w:pPr>
        <w:rPr>
          <w:sz w:val="21"/>
          <w:szCs w:val="21"/>
        </w:rPr>
      </w:pPr>
    </w:p>
    <w:p w14:paraId="06A14390" w14:textId="77777777" w:rsidR="005119E3" w:rsidRPr="005119E3" w:rsidRDefault="005119E3" w:rsidP="005119E3">
      <w:pPr>
        <w:pStyle w:val="ListParagraph"/>
        <w:numPr>
          <w:ilvl w:val="0"/>
          <w:numId w:val="11"/>
        </w:numPr>
        <w:ind w:left="360"/>
        <w:rPr>
          <w:sz w:val="21"/>
          <w:szCs w:val="21"/>
        </w:rPr>
      </w:pPr>
      <w:r w:rsidRPr="005119E3">
        <w:rPr>
          <w:sz w:val="21"/>
          <w:szCs w:val="21"/>
        </w:rPr>
        <w:t>B</w:t>
      </w:r>
      <w:r w:rsidR="001F586B" w:rsidRPr="005119E3">
        <w:rPr>
          <w:sz w:val="21"/>
          <w:szCs w:val="21"/>
        </w:rPr>
        <w:t xml:space="preserve">reach of planning control (1982 Act amended by Para 5 of </w:t>
      </w:r>
      <w:proofErr w:type="spellStart"/>
      <w:r w:rsidR="001F586B" w:rsidRPr="005119E3">
        <w:rPr>
          <w:sz w:val="21"/>
          <w:szCs w:val="21"/>
        </w:rPr>
        <w:t>Sch</w:t>
      </w:r>
      <w:proofErr w:type="spellEnd"/>
      <w:r w:rsidR="001F586B" w:rsidRPr="005119E3">
        <w:rPr>
          <w:sz w:val="21"/>
          <w:szCs w:val="21"/>
        </w:rPr>
        <w:t xml:space="preserve"> 2 of the Order)</w:t>
      </w:r>
      <w:r w:rsidR="00C83F29" w:rsidRPr="005119E3">
        <w:rPr>
          <w:sz w:val="21"/>
          <w:szCs w:val="21"/>
        </w:rPr>
        <w:t xml:space="preserve"> </w:t>
      </w:r>
    </w:p>
    <w:p w14:paraId="7A8FFD45" w14:textId="098D23C0" w:rsidR="001F586B" w:rsidRPr="005119E3" w:rsidRDefault="001F586B" w:rsidP="005119E3">
      <w:pPr>
        <w:pStyle w:val="ListParagraph"/>
        <w:numPr>
          <w:ilvl w:val="0"/>
          <w:numId w:val="11"/>
        </w:numPr>
        <w:ind w:left="360"/>
        <w:rPr>
          <w:sz w:val="21"/>
          <w:szCs w:val="21"/>
        </w:rPr>
      </w:pPr>
      <w:r w:rsidRPr="005119E3">
        <w:rPr>
          <w:sz w:val="21"/>
          <w:szCs w:val="21"/>
        </w:rPr>
        <w:t xml:space="preserve">Applicant would not be able to “secure compliance” with conditions (1982 Act amended by Para 6(b) of </w:t>
      </w:r>
      <w:proofErr w:type="spellStart"/>
      <w:r w:rsidRPr="005119E3">
        <w:rPr>
          <w:sz w:val="21"/>
          <w:szCs w:val="21"/>
        </w:rPr>
        <w:t>Sch</w:t>
      </w:r>
      <w:proofErr w:type="spellEnd"/>
      <w:r w:rsidRPr="005119E3">
        <w:rPr>
          <w:sz w:val="21"/>
          <w:szCs w:val="21"/>
        </w:rPr>
        <w:t xml:space="preserve"> 2 of the Order)</w:t>
      </w:r>
      <w:r w:rsidR="005D1A1B" w:rsidRPr="005119E3">
        <w:rPr>
          <w:sz w:val="21"/>
          <w:szCs w:val="21"/>
        </w:rPr>
        <w:t>. That includes standard conditions the local authority may choose to apply to licences</w:t>
      </w:r>
    </w:p>
    <w:p w14:paraId="62A17434" w14:textId="029B60D0" w:rsidR="003F1236" w:rsidRPr="005119E3" w:rsidRDefault="001F586B" w:rsidP="005119E3">
      <w:pPr>
        <w:pStyle w:val="ListParagraph"/>
        <w:numPr>
          <w:ilvl w:val="0"/>
          <w:numId w:val="11"/>
        </w:numPr>
        <w:ind w:left="360"/>
        <w:rPr>
          <w:sz w:val="21"/>
          <w:szCs w:val="21"/>
        </w:rPr>
      </w:pPr>
      <w:r w:rsidRPr="005119E3">
        <w:rPr>
          <w:sz w:val="21"/>
          <w:szCs w:val="21"/>
        </w:rPr>
        <w:t>The Council “considers” there will be a resulting over provision of short-term lets (1982 Act amended by Para 6(c) of Sch 2 of the Order)</w:t>
      </w:r>
      <w:r w:rsidR="00C83F29" w:rsidRPr="005119E3">
        <w:rPr>
          <w:sz w:val="21"/>
          <w:szCs w:val="21"/>
        </w:rPr>
        <w:t xml:space="preserve"> -</w:t>
      </w:r>
    </w:p>
    <w:p w14:paraId="771CE0C5" w14:textId="29E7CDDE" w:rsidR="003F1236" w:rsidRPr="005119E3" w:rsidRDefault="003F1236" w:rsidP="005119E3">
      <w:pPr>
        <w:rPr>
          <w:sz w:val="21"/>
          <w:szCs w:val="21"/>
        </w:rPr>
      </w:pPr>
    </w:p>
    <w:p w14:paraId="38F0029C" w14:textId="77777777" w:rsidR="005D1A1B" w:rsidRPr="005119E3" w:rsidRDefault="005D1A1B" w:rsidP="005119E3">
      <w:pPr>
        <w:ind w:left="720"/>
        <w:rPr>
          <w:i/>
          <w:iCs/>
          <w:sz w:val="21"/>
          <w:szCs w:val="21"/>
        </w:rPr>
      </w:pPr>
      <w:r w:rsidRPr="005119E3">
        <w:rPr>
          <w:i/>
          <w:iCs/>
          <w:sz w:val="21"/>
          <w:szCs w:val="21"/>
        </w:rPr>
        <w:t>3A) A licensing authority may refuse an application for a licence for secondary letting if it considers that there is (or, as a result of granting the licence, would be) overprovision of short-term lets, or a specific type of short-term let of the same type as that to which the application relates, in the locality in which the premises is situated.</w:t>
      </w:r>
    </w:p>
    <w:p w14:paraId="6AA0E646" w14:textId="77777777" w:rsidR="005D1A1B" w:rsidRPr="005119E3" w:rsidRDefault="005D1A1B" w:rsidP="005119E3">
      <w:pPr>
        <w:ind w:left="720"/>
        <w:rPr>
          <w:i/>
          <w:iCs/>
          <w:sz w:val="21"/>
          <w:szCs w:val="21"/>
        </w:rPr>
      </w:pPr>
    </w:p>
    <w:p w14:paraId="39AEEFD6" w14:textId="77777777" w:rsidR="005D1A1B" w:rsidRPr="005119E3" w:rsidRDefault="005D1A1B" w:rsidP="005119E3">
      <w:pPr>
        <w:ind w:left="720"/>
        <w:rPr>
          <w:i/>
          <w:iCs/>
          <w:sz w:val="21"/>
          <w:szCs w:val="21"/>
        </w:rPr>
      </w:pPr>
      <w:r w:rsidRPr="005119E3">
        <w:rPr>
          <w:i/>
          <w:iCs/>
          <w:sz w:val="21"/>
          <w:szCs w:val="21"/>
        </w:rPr>
        <w:t>(3B) It is for the licensing authority to determine the localities within its area for the purpose of sub-paragraph (3A).</w:t>
      </w:r>
    </w:p>
    <w:p w14:paraId="0733A782" w14:textId="77777777" w:rsidR="005D1A1B" w:rsidRPr="005119E3" w:rsidRDefault="005D1A1B" w:rsidP="005119E3">
      <w:pPr>
        <w:ind w:left="720"/>
        <w:rPr>
          <w:i/>
          <w:iCs/>
          <w:sz w:val="21"/>
          <w:szCs w:val="21"/>
        </w:rPr>
      </w:pPr>
    </w:p>
    <w:p w14:paraId="63ADD3A2" w14:textId="77777777" w:rsidR="005D1A1B" w:rsidRPr="005119E3" w:rsidRDefault="005D1A1B" w:rsidP="005119E3">
      <w:pPr>
        <w:ind w:left="720"/>
        <w:rPr>
          <w:i/>
          <w:iCs/>
          <w:sz w:val="21"/>
          <w:szCs w:val="21"/>
        </w:rPr>
      </w:pPr>
      <w:r w:rsidRPr="005119E3">
        <w:rPr>
          <w:i/>
          <w:iCs/>
          <w:sz w:val="21"/>
          <w:szCs w:val="21"/>
        </w:rPr>
        <w:t>(3C) In considering whether there is or would be overprovision for the purposes of sub-paragraph (3A) in any locality, the licensing authority must have regard to—</w:t>
      </w:r>
    </w:p>
    <w:p w14:paraId="1E9CCA8A" w14:textId="77777777" w:rsidR="005D1A1B" w:rsidRPr="005119E3" w:rsidRDefault="005D1A1B" w:rsidP="005119E3">
      <w:pPr>
        <w:ind w:left="720"/>
        <w:rPr>
          <w:i/>
          <w:iCs/>
          <w:sz w:val="21"/>
          <w:szCs w:val="21"/>
        </w:rPr>
      </w:pPr>
    </w:p>
    <w:p w14:paraId="0012DE10" w14:textId="77777777" w:rsidR="005D1A1B" w:rsidRPr="005119E3" w:rsidRDefault="005D1A1B" w:rsidP="005119E3">
      <w:pPr>
        <w:ind w:left="1440"/>
        <w:rPr>
          <w:i/>
          <w:iCs/>
          <w:sz w:val="21"/>
          <w:szCs w:val="21"/>
        </w:rPr>
      </w:pPr>
      <w:r w:rsidRPr="005119E3">
        <w:rPr>
          <w:i/>
          <w:iCs/>
          <w:sz w:val="21"/>
          <w:szCs w:val="21"/>
        </w:rPr>
        <w:t>(a)the number and capacity of licensed short-term lets in the locality, and</w:t>
      </w:r>
    </w:p>
    <w:p w14:paraId="6EDDBBB0" w14:textId="77777777" w:rsidR="005D1A1B" w:rsidRPr="005119E3" w:rsidRDefault="005D1A1B" w:rsidP="005119E3">
      <w:pPr>
        <w:ind w:left="1440"/>
        <w:rPr>
          <w:i/>
          <w:iCs/>
          <w:sz w:val="21"/>
          <w:szCs w:val="21"/>
        </w:rPr>
      </w:pPr>
    </w:p>
    <w:p w14:paraId="4B7651C3" w14:textId="77777777" w:rsidR="005D1A1B" w:rsidRPr="005119E3" w:rsidRDefault="005D1A1B" w:rsidP="005119E3">
      <w:pPr>
        <w:ind w:left="1440"/>
        <w:rPr>
          <w:i/>
          <w:iCs/>
          <w:sz w:val="21"/>
          <w:szCs w:val="21"/>
        </w:rPr>
      </w:pPr>
      <w:r w:rsidRPr="005119E3">
        <w:rPr>
          <w:i/>
          <w:iCs/>
          <w:sz w:val="21"/>
          <w:szCs w:val="21"/>
        </w:rPr>
        <w:t>(b)the need for housing accommodation in the locality and the extent to which short-term let accommodation is required to meet that need, and</w:t>
      </w:r>
    </w:p>
    <w:p w14:paraId="152B9303" w14:textId="77777777" w:rsidR="005D1A1B" w:rsidRPr="005119E3" w:rsidRDefault="005D1A1B" w:rsidP="005119E3">
      <w:pPr>
        <w:ind w:left="1440"/>
        <w:rPr>
          <w:i/>
          <w:iCs/>
          <w:sz w:val="21"/>
          <w:szCs w:val="21"/>
        </w:rPr>
      </w:pPr>
    </w:p>
    <w:p w14:paraId="3CD1917E" w14:textId="43B3A684" w:rsidR="003F1236" w:rsidRPr="005119E3" w:rsidRDefault="005D1A1B" w:rsidP="005119E3">
      <w:pPr>
        <w:ind w:left="1440"/>
        <w:rPr>
          <w:i/>
          <w:iCs/>
          <w:sz w:val="21"/>
          <w:szCs w:val="21"/>
        </w:rPr>
      </w:pPr>
      <w:r w:rsidRPr="005119E3">
        <w:rPr>
          <w:i/>
          <w:iCs/>
          <w:sz w:val="21"/>
          <w:szCs w:val="21"/>
        </w:rPr>
        <w:t>(c)such other matters as they consider relevant.”.</w:t>
      </w:r>
    </w:p>
    <w:p w14:paraId="14231BAE" w14:textId="77777777" w:rsidR="003F1236" w:rsidRPr="005119E3" w:rsidRDefault="003F1236" w:rsidP="005119E3">
      <w:pPr>
        <w:rPr>
          <w:sz w:val="21"/>
          <w:szCs w:val="21"/>
        </w:rPr>
      </w:pPr>
    </w:p>
    <w:p w14:paraId="19CCCADA" w14:textId="2546124E" w:rsidR="003F1236" w:rsidRPr="005119E3" w:rsidRDefault="00C83F29" w:rsidP="00563D08">
      <w:pPr>
        <w:rPr>
          <w:sz w:val="21"/>
          <w:szCs w:val="21"/>
        </w:rPr>
      </w:pPr>
      <w:r w:rsidRPr="005119E3">
        <w:rPr>
          <w:sz w:val="21"/>
          <w:szCs w:val="21"/>
        </w:rPr>
        <w:t xml:space="preserve">It is impossible for a business owner to quantify this risk. </w:t>
      </w:r>
    </w:p>
    <w:p w14:paraId="0C38EE7D" w14:textId="7F21F511" w:rsidR="00C83F29" w:rsidRPr="005119E3" w:rsidRDefault="00C83F29" w:rsidP="00563D08">
      <w:pPr>
        <w:rPr>
          <w:sz w:val="21"/>
          <w:szCs w:val="21"/>
        </w:rPr>
      </w:pPr>
    </w:p>
    <w:p w14:paraId="54C38E34" w14:textId="4310CA5E" w:rsidR="00C83F29" w:rsidRDefault="00C83F29" w:rsidP="00563D08">
      <w:pPr>
        <w:rPr>
          <w:sz w:val="21"/>
          <w:szCs w:val="21"/>
        </w:rPr>
      </w:pPr>
      <w:r w:rsidRPr="005119E3">
        <w:rPr>
          <w:sz w:val="21"/>
          <w:szCs w:val="21"/>
        </w:rPr>
        <w:t>Additionally, a licence may be granted but with conditions attached that are unacceptable to the owner.</w:t>
      </w:r>
    </w:p>
    <w:p w14:paraId="76304732" w14:textId="7C0E33C6" w:rsidR="003B0F54" w:rsidRDefault="003B0F54" w:rsidP="00563D08">
      <w:pPr>
        <w:rPr>
          <w:sz w:val="21"/>
          <w:szCs w:val="21"/>
        </w:rPr>
      </w:pPr>
    </w:p>
    <w:p w14:paraId="47E53E4C" w14:textId="19BBDA95" w:rsidR="00CA4D23" w:rsidRPr="005119E3" w:rsidRDefault="00CA4D23" w:rsidP="00563D08">
      <w:pPr>
        <w:rPr>
          <w:sz w:val="21"/>
          <w:szCs w:val="21"/>
        </w:rPr>
      </w:pPr>
      <w:r>
        <w:rPr>
          <w:sz w:val="21"/>
          <w:szCs w:val="21"/>
        </w:rPr>
        <w:t>January 2021</w:t>
      </w:r>
      <w:bookmarkStart w:id="0" w:name="_GoBack"/>
      <w:bookmarkEnd w:id="0"/>
    </w:p>
    <w:p w14:paraId="66DD0379" w14:textId="47DB36E9" w:rsidR="00B15880" w:rsidRPr="005119E3" w:rsidRDefault="00B15880" w:rsidP="00563D08">
      <w:pPr>
        <w:rPr>
          <w:sz w:val="21"/>
          <w:szCs w:val="21"/>
        </w:rPr>
      </w:pPr>
    </w:p>
    <w:p w14:paraId="7AD9CBAD" w14:textId="6DF710C1" w:rsidR="00C81E72" w:rsidRPr="00C81E72" w:rsidRDefault="00B15880" w:rsidP="00C81E72">
      <w:pPr>
        <w:rPr>
          <w:b/>
          <w:i/>
          <w:sz w:val="21"/>
          <w:szCs w:val="21"/>
        </w:rPr>
      </w:pPr>
      <w:r w:rsidRPr="004D4F43">
        <w:rPr>
          <w:b/>
          <w:i/>
          <w:sz w:val="21"/>
          <w:szCs w:val="21"/>
        </w:rPr>
        <w:t>With thanks to David Nash</w:t>
      </w:r>
      <w:r w:rsidR="00C81E72" w:rsidRPr="004D4F43">
        <w:rPr>
          <w:b/>
          <w:i/>
          <w:sz w:val="21"/>
          <w:szCs w:val="21"/>
        </w:rPr>
        <w:t>.</w:t>
      </w:r>
      <w:r w:rsidRPr="004D4F43">
        <w:rPr>
          <w:b/>
          <w:i/>
          <w:sz w:val="21"/>
          <w:szCs w:val="21"/>
        </w:rPr>
        <w:t xml:space="preserve"> </w:t>
      </w:r>
      <w:r w:rsidR="00C81E72" w:rsidRPr="00C81E72">
        <w:rPr>
          <w:rFonts w:eastAsia="Times New Roman" w:cs="Times New Roman"/>
          <w:b/>
          <w:i/>
          <w:color w:val="000000"/>
          <w:sz w:val="21"/>
          <w:szCs w:val="21"/>
        </w:rPr>
        <w:t xml:space="preserve">David is a recently retired Scottish solicitor, having split his professional career between the public and private sector, in a particular as a Scottish Office legal adviser and as a partner in Shepherd &amp; </w:t>
      </w:r>
      <w:proofErr w:type="spellStart"/>
      <w:r w:rsidR="00C81E72" w:rsidRPr="00C81E72">
        <w:rPr>
          <w:rFonts w:eastAsia="Times New Roman" w:cs="Times New Roman"/>
          <w:b/>
          <w:i/>
          <w:color w:val="000000"/>
          <w:sz w:val="21"/>
          <w:szCs w:val="21"/>
        </w:rPr>
        <w:t>Wedderburn</w:t>
      </w:r>
      <w:proofErr w:type="spellEnd"/>
      <w:r w:rsidR="00C81E72" w:rsidRPr="00C81E72">
        <w:rPr>
          <w:rFonts w:eastAsia="Times New Roman" w:cs="Times New Roman"/>
          <w:b/>
          <w:i/>
          <w:color w:val="000000"/>
          <w:sz w:val="21"/>
          <w:szCs w:val="21"/>
        </w:rPr>
        <w:t xml:space="preserve"> and as a consultant with Pinsent Masons and DWF. Until a few years ago he was also a panel member of the Scottish Parliament’s Non-Executive Bills Unit.</w:t>
      </w:r>
    </w:p>
    <w:p w14:paraId="62A29212" w14:textId="77777777" w:rsidR="00C81E72" w:rsidRPr="004D4F43" w:rsidRDefault="00C81E72" w:rsidP="00563D08">
      <w:pPr>
        <w:rPr>
          <w:b/>
          <w:i/>
          <w:sz w:val="21"/>
          <w:szCs w:val="21"/>
        </w:rPr>
      </w:pPr>
    </w:p>
    <w:p w14:paraId="015DD0E3" w14:textId="07234060" w:rsidR="00A07372" w:rsidRPr="004D4F43" w:rsidRDefault="00A07372" w:rsidP="00563D08">
      <w:pPr>
        <w:rPr>
          <w:b/>
          <w:i/>
          <w:sz w:val="21"/>
          <w:szCs w:val="21"/>
        </w:rPr>
      </w:pPr>
    </w:p>
    <w:p w14:paraId="4A985100" w14:textId="7AB88233" w:rsidR="00563D08" w:rsidRPr="004D4F43" w:rsidRDefault="00563D08" w:rsidP="00563D08">
      <w:pPr>
        <w:rPr>
          <w:i/>
          <w:sz w:val="21"/>
          <w:szCs w:val="21"/>
        </w:rPr>
      </w:pPr>
    </w:p>
    <w:sectPr w:rsidR="00563D08" w:rsidRPr="004D4F43" w:rsidSect="008D343C">
      <w:pgSz w:w="11900" w:h="16840"/>
      <w:pgMar w:top="908" w:right="1440" w:bottom="69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D0E0D" w14:textId="77777777" w:rsidR="00CF163D" w:rsidRDefault="00CF163D" w:rsidP="006B288D">
      <w:r>
        <w:separator/>
      </w:r>
    </w:p>
  </w:endnote>
  <w:endnote w:type="continuationSeparator" w:id="0">
    <w:p w14:paraId="22C1894C" w14:textId="77777777" w:rsidR="00CF163D" w:rsidRDefault="00CF163D" w:rsidP="006B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C4DE" w14:textId="77777777" w:rsidR="00CF163D" w:rsidRDefault="00CF163D" w:rsidP="006B288D">
      <w:r>
        <w:separator/>
      </w:r>
    </w:p>
  </w:footnote>
  <w:footnote w:type="continuationSeparator" w:id="0">
    <w:p w14:paraId="580C4CAE" w14:textId="77777777" w:rsidR="00CF163D" w:rsidRDefault="00CF163D" w:rsidP="006B288D">
      <w:r>
        <w:continuationSeparator/>
      </w:r>
    </w:p>
  </w:footnote>
  <w:footnote w:id="1">
    <w:p w14:paraId="59B267E4" w14:textId="31323F95" w:rsidR="006B288D" w:rsidRDefault="006B288D">
      <w:pPr>
        <w:pStyle w:val="FootnoteText"/>
      </w:pPr>
      <w:r>
        <w:rPr>
          <w:rStyle w:val="FootnoteReference"/>
        </w:rPr>
        <w:footnoteRef/>
      </w:r>
      <w:r>
        <w:t xml:space="preserve"> </w:t>
      </w:r>
      <w:r w:rsidRPr="006B288D">
        <w:rPr>
          <w:sz w:val="18"/>
          <w:szCs w:val="18"/>
        </w:rPr>
        <w:t>https://www.assc.co.uk/wp-content/uploads/2021/01/ASSC-licensing-survey.pdf</w:t>
      </w:r>
    </w:p>
  </w:footnote>
  <w:footnote w:id="2">
    <w:p w14:paraId="34BC23EC" w14:textId="343A2A18" w:rsidR="001D43C7" w:rsidRPr="00FF73C1" w:rsidRDefault="001D43C7" w:rsidP="001D43C7">
      <w:pPr>
        <w:rPr>
          <w:sz w:val="21"/>
          <w:szCs w:val="21"/>
        </w:rPr>
      </w:pPr>
      <w:r>
        <w:rPr>
          <w:rStyle w:val="FootnoteReference"/>
        </w:rPr>
        <w:footnoteRef/>
      </w:r>
      <w:r>
        <w:t xml:space="preserve"> </w:t>
      </w:r>
      <w:r w:rsidRPr="001D43C7">
        <w:rPr>
          <w:sz w:val="18"/>
          <w:szCs w:val="18"/>
        </w:rPr>
        <w:t xml:space="preserve">This diagram, which assumes a licence application is made in March 2023 and takes up to 12 months to grant or refuse, shows the effect on bookings. </w:t>
      </w:r>
    </w:p>
    <w:p w14:paraId="4E073E47" w14:textId="504651C7" w:rsidR="001D43C7" w:rsidRDefault="001D43C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B29"/>
    <w:multiLevelType w:val="hybridMultilevel"/>
    <w:tmpl w:val="C07C0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47B3D"/>
    <w:multiLevelType w:val="hybridMultilevel"/>
    <w:tmpl w:val="387E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651B3"/>
    <w:multiLevelType w:val="hybridMultilevel"/>
    <w:tmpl w:val="125CA3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E6851"/>
    <w:multiLevelType w:val="hybridMultilevel"/>
    <w:tmpl w:val="523C4B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D6A8C"/>
    <w:multiLevelType w:val="hybridMultilevel"/>
    <w:tmpl w:val="72D035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F3345"/>
    <w:multiLevelType w:val="hybridMultilevel"/>
    <w:tmpl w:val="5B2AB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B34474"/>
    <w:multiLevelType w:val="hybridMultilevel"/>
    <w:tmpl w:val="B0D6AF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F2144"/>
    <w:multiLevelType w:val="hybridMultilevel"/>
    <w:tmpl w:val="F1A4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3DB3"/>
    <w:multiLevelType w:val="hybridMultilevel"/>
    <w:tmpl w:val="54781A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56C44"/>
    <w:multiLevelType w:val="hybridMultilevel"/>
    <w:tmpl w:val="7B08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319D3"/>
    <w:multiLevelType w:val="multilevel"/>
    <w:tmpl w:val="BC7C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2"/>
  </w:num>
  <w:num w:numId="4">
    <w:abstractNumId w:val="3"/>
  </w:num>
  <w:num w:numId="5">
    <w:abstractNumId w:val="6"/>
  </w:num>
  <w:num w:numId="6">
    <w:abstractNumId w:val="10"/>
  </w:num>
  <w:num w:numId="7">
    <w:abstractNumId w:val="5"/>
  </w:num>
  <w:num w:numId="8">
    <w:abstractNumId w:val="7"/>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F5"/>
    <w:rsid w:val="00025DF9"/>
    <w:rsid w:val="0006667D"/>
    <w:rsid w:val="000678C6"/>
    <w:rsid w:val="00091444"/>
    <w:rsid w:val="000F2510"/>
    <w:rsid w:val="00125722"/>
    <w:rsid w:val="00126663"/>
    <w:rsid w:val="00173ABE"/>
    <w:rsid w:val="0018340A"/>
    <w:rsid w:val="001932EE"/>
    <w:rsid w:val="001B3D65"/>
    <w:rsid w:val="001D43C7"/>
    <w:rsid w:val="001F586B"/>
    <w:rsid w:val="00204B36"/>
    <w:rsid w:val="0024689F"/>
    <w:rsid w:val="00281B48"/>
    <w:rsid w:val="002861CE"/>
    <w:rsid w:val="002D3B6A"/>
    <w:rsid w:val="002F3722"/>
    <w:rsid w:val="00374979"/>
    <w:rsid w:val="00392E83"/>
    <w:rsid w:val="003A5182"/>
    <w:rsid w:val="003B0F54"/>
    <w:rsid w:val="003C5B35"/>
    <w:rsid w:val="003F1236"/>
    <w:rsid w:val="00454CCB"/>
    <w:rsid w:val="00473EA7"/>
    <w:rsid w:val="004C02C2"/>
    <w:rsid w:val="004D4F43"/>
    <w:rsid w:val="004E4E25"/>
    <w:rsid w:val="004E6775"/>
    <w:rsid w:val="004F6D1B"/>
    <w:rsid w:val="005119E3"/>
    <w:rsid w:val="00563D08"/>
    <w:rsid w:val="00591E9F"/>
    <w:rsid w:val="005A3A35"/>
    <w:rsid w:val="005D1A1B"/>
    <w:rsid w:val="005D2CD4"/>
    <w:rsid w:val="00645B04"/>
    <w:rsid w:val="006563C4"/>
    <w:rsid w:val="006B288D"/>
    <w:rsid w:val="006D38F1"/>
    <w:rsid w:val="00745942"/>
    <w:rsid w:val="007A2237"/>
    <w:rsid w:val="007D3A17"/>
    <w:rsid w:val="00801BB5"/>
    <w:rsid w:val="00877825"/>
    <w:rsid w:val="008A47DB"/>
    <w:rsid w:val="008D2AD9"/>
    <w:rsid w:val="008D343C"/>
    <w:rsid w:val="009167BD"/>
    <w:rsid w:val="009A16F5"/>
    <w:rsid w:val="009B2300"/>
    <w:rsid w:val="009C2615"/>
    <w:rsid w:val="00A07372"/>
    <w:rsid w:val="00A15333"/>
    <w:rsid w:val="00A53904"/>
    <w:rsid w:val="00A77B53"/>
    <w:rsid w:val="00A80DD3"/>
    <w:rsid w:val="00AA3A75"/>
    <w:rsid w:val="00AB0AC2"/>
    <w:rsid w:val="00AC4364"/>
    <w:rsid w:val="00AE05BF"/>
    <w:rsid w:val="00AE393F"/>
    <w:rsid w:val="00B15880"/>
    <w:rsid w:val="00B33050"/>
    <w:rsid w:val="00B71696"/>
    <w:rsid w:val="00B75DCC"/>
    <w:rsid w:val="00BA0B1A"/>
    <w:rsid w:val="00BD1921"/>
    <w:rsid w:val="00C448F4"/>
    <w:rsid w:val="00C67BB5"/>
    <w:rsid w:val="00C81E72"/>
    <w:rsid w:val="00C83F29"/>
    <w:rsid w:val="00CA4D23"/>
    <w:rsid w:val="00CC3E60"/>
    <w:rsid w:val="00CC6F17"/>
    <w:rsid w:val="00CF163D"/>
    <w:rsid w:val="00D17F37"/>
    <w:rsid w:val="00D50B2D"/>
    <w:rsid w:val="00D533FA"/>
    <w:rsid w:val="00D57EFF"/>
    <w:rsid w:val="00D9384F"/>
    <w:rsid w:val="00DA3686"/>
    <w:rsid w:val="00DB04AA"/>
    <w:rsid w:val="00DC07F3"/>
    <w:rsid w:val="00DD24EE"/>
    <w:rsid w:val="00E10D08"/>
    <w:rsid w:val="00E3743D"/>
    <w:rsid w:val="00E61932"/>
    <w:rsid w:val="00E85E6A"/>
    <w:rsid w:val="00E86B39"/>
    <w:rsid w:val="00F26876"/>
    <w:rsid w:val="00F3026A"/>
    <w:rsid w:val="00FB0CD0"/>
    <w:rsid w:val="00FD2B8B"/>
    <w:rsid w:val="00FF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E7AE"/>
  <w15:chartTrackingRefBased/>
  <w15:docId w15:val="{6B7DCDDA-9FD4-B74A-9E60-E4E4E59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8F4"/>
    <w:pPr>
      <w:ind w:left="720"/>
      <w:contextualSpacing/>
    </w:pPr>
  </w:style>
  <w:style w:type="paragraph" w:styleId="NormalWeb">
    <w:name w:val="Normal (Web)"/>
    <w:basedOn w:val="Normal"/>
    <w:uiPriority w:val="99"/>
    <w:unhideWhenUsed/>
    <w:rsid w:val="006563C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B288D"/>
    <w:rPr>
      <w:sz w:val="20"/>
      <w:szCs w:val="20"/>
    </w:rPr>
  </w:style>
  <w:style w:type="character" w:customStyle="1" w:styleId="FootnoteTextChar">
    <w:name w:val="Footnote Text Char"/>
    <w:basedOn w:val="DefaultParagraphFont"/>
    <w:link w:val="FootnoteText"/>
    <w:uiPriority w:val="99"/>
    <w:semiHidden/>
    <w:rsid w:val="006B288D"/>
    <w:rPr>
      <w:sz w:val="20"/>
      <w:szCs w:val="20"/>
    </w:rPr>
  </w:style>
  <w:style w:type="character" w:styleId="FootnoteReference">
    <w:name w:val="footnote reference"/>
    <w:basedOn w:val="DefaultParagraphFont"/>
    <w:uiPriority w:val="99"/>
    <w:semiHidden/>
    <w:unhideWhenUsed/>
    <w:rsid w:val="006B2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767629">
      <w:bodyDiv w:val="1"/>
      <w:marLeft w:val="0"/>
      <w:marRight w:val="0"/>
      <w:marTop w:val="0"/>
      <w:marBottom w:val="0"/>
      <w:divBdr>
        <w:top w:val="none" w:sz="0" w:space="0" w:color="auto"/>
        <w:left w:val="none" w:sz="0" w:space="0" w:color="auto"/>
        <w:bottom w:val="none" w:sz="0" w:space="0" w:color="auto"/>
        <w:right w:val="none" w:sz="0" w:space="0" w:color="auto"/>
      </w:divBdr>
      <w:divsChild>
        <w:div w:id="1035882873">
          <w:marLeft w:val="0"/>
          <w:marRight w:val="0"/>
          <w:marTop w:val="0"/>
          <w:marBottom w:val="0"/>
          <w:divBdr>
            <w:top w:val="none" w:sz="0" w:space="0" w:color="auto"/>
            <w:left w:val="none" w:sz="0" w:space="0" w:color="auto"/>
            <w:bottom w:val="none" w:sz="0" w:space="0" w:color="auto"/>
            <w:right w:val="none" w:sz="0" w:space="0" w:color="auto"/>
          </w:divBdr>
          <w:divsChild>
            <w:div w:id="403374412">
              <w:marLeft w:val="0"/>
              <w:marRight w:val="0"/>
              <w:marTop w:val="0"/>
              <w:marBottom w:val="0"/>
              <w:divBdr>
                <w:top w:val="none" w:sz="0" w:space="0" w:color="auto"/>
                <w:left w:val="none" w:sz="0" w:space="0" w:color="auto"/>
                <w:bottom w:val="none" w:sz="0" w:space="0" w:color="auto"/>
                <w:right w:val="none" w:sz="0" w:space="0" w:color="auto"/>
              </w:divBdr>
              <w:divsChild>
                <w:div w:id="694886179">
                  <w:marLeft w:val="0"/>
                  <w:marRight w:val="0"/>
                  <w:marTop w:val="0"/>
                  <w:marBottom w:val="0"/>
                  <w:divBdr>
                    <w:top w:val="none" w:sz="0" w:space="0" w:color="auto"/>
                    <w:left w:val="none" w:sz="0" w:space="0" w:color="auto"/>
                    <w:bottom w:val="none" w:sz="0" w:space="0" w:color="auto"/>
                    <w:right w:val="none" w:sz="0" w:space="0" w:color="auto"/>
                  </w:divBdr>
                  <w:divsChild>
                    <w:div w:id="13785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51003">
      <w:bodyDiv w:val="1"/>
      <w:marLeft w:val="0"/>
      <w:marRight w:val="0"/>
      <w:marTop w:val="0"/>
      <w:marBottom w:val="0"/>
      <w:divBdr>
        <w:top w:val="none" w:sz="0" w:space="0" w:color="auto"/>
        <w:left w:val="none" w:sz="0" w:space="0" w:color="auto"/>
        <w:bottom w:val="none" w:sz="0" w:space="0" w:color="auto"/>
        <w:right w:val="none" w:sz="0" w:space="0" w:color="auto"/>
      </w:divBdr>
    </w:div>
    <w:div w:id="999582082">
      <w:bodyDiv w:val="1"/>
      <w:marLeft w:val="0"/>
      <w:marRight w:val="0"/>
      <w:marTop w:val="0"/>
      <w:marBottom w:val="0"/>
      <w:divBdr>
        <w:top w:val="none" w:sz="0" w:space="0" w:color="auto"/>
        <w:left w:val="none" w:sz="0" w:space="0" w:color="auto"/>
        <w:bottom w:val="none" w:sz="0" w:space="0" w:color="auto"/>
        <w:right w:val="none" w:sz="0" w:space="0" w:color="auto"/>
      </w:divBdr>
    </w:div>
    <w:div w:id="1390307507">
      <w:bodyDiv w:val="1"/>
      <w:marLeft w:val="0"/>
      <w:marRight w:val="0"/>
      <w:marTop w:val="0"/>
      <w:marBottom w:val="0"/>
      <w:divBdr>
        <w:top w:val="none" w:sz="0" w:space="0" w:color="auto"/>
        <w:left w:val="none" w:sz="0" w:space="0" w:color="auto"/>
        <w:bottom w:val="none" w:sz="0" w:space="0" w:color="auto"/>
        <w:right w:val="none" w:sz="0" w:space="0" w:color="auto"/>
      </w:divBdr>
      <w:divsChild>
        <w:div w:id="602567602">
          <w:marLeft w:val="0"/>
          <w:marRight w:val="0"/>
          <w:marTop w:val="0"/>
          <w:marBottom w:val="0"/>
          <w:divBdr>
            <w:top w:val="none" w:sz="0" w:space="0" w:color="auto"/>
            <w:left w:val="none" w:sz="0" w:space="0" w:color="auto"/>
            <w:bottom w:val="none" w:sz="0" w:space="0" w:color="auto"/>
            <w:right w:val="none" w:sz="0" w:space="0" w:color="auto"/>
          </w:divBdr>
        </w:div>
        <w:div w:id="309748844">
          <w:marLeft w:val="0"/>
          <w:marRight w:val="0"/>
          <w:marTop w:val="0"/>
          <w:marBottom w:val="0"/>
          <w:divBdr>
            <w:top w:val="none" w:sz="0" w:space="0" w:color="auto"/>
            <w:left w:val="none" w:sz="0" w:space="0" w:color="auto"/>
            <w:bottom w:val="none" w:sz="0" w:space="0" w:color="auto"/>
            <w:right w:val="none" w:sz="0" w:space="0" w:color="auto"/>
          </w:divBdr>
        </w:div>
        <w:div w:id="679543885">
          <w:marLeft w:val="0"/>
          <w:marRight w:val="0"/>
          <w:marTop w:val="0"/>
          <w:marBottom w:val="0"/>
          <w:divBdr>
            <w:top w:val="none" w:sz="0" w:space="0" w:color="auto"/>
            <w:left w:val="none" w:sz="0" w:space="0" w:color="auto"/>
            <w:bottom w:val="none" w:sz="0" w:space="0" w:color="auto"/>
            <w:right w:val="none" w:sz="0" w:space="0" w:color="auto"/>
          </w:divBdr>
        </w:div>
        <w:div w:id="404883714">
          <w:marLeft w:val="0"/>
          <w:marRight w:val="0"/>
          <w:marTop w:val="0"/>
          <w:marBottom w:val="0"/>
          <w:divBdr>
            <w:top w:val="none" w:sz="0" w:space="0" w:color="auto"/>
            <w:left w:val="none" w:sz="0" w:space="0" w:color="auto"/>
            <w:bottom w:val="none" w:sz="0" w:space="0" w:color="auto"/>
            <w:right w:val="none" w:sz="0" w:space="0" w:color="auto"/>
          </w:divBdr>
        </w:div>
        <w:div w:id="547109891">
          <w:marLeft w:val="0"/>
          <w:marRight w:val="0"/>
          <w:marTop w:val="0"/>
          <w:marBottom w:val="0"/>
          <w:divBdr>
            <w:top w:val="none" w:sz="0" w:space="0" w:color="auto"/>
            <w:left w:val="none" w:sz="0" w:space="0" w:color="auto"/>
            <w:bottom w:val="none" w:sz="0" w:space="0" w:color="auto"/>
            <w:right w:val="none" w:sz="0" w:space="0" w:color="auto"/>
          </w:divBdr>
        </w:div>
        <w:div w:id="1679959929">
          <w:marLeft w:val="0"/>
          <w:marRight w:val="0"/>
          <w:marTop w:val="0"/>
          <w:marBottom w:val="0"/>
          <w:divBdr>
            <w:top w:val="none" w:sz="0" w:space="0" w:color="auto"/>
            <w:left w:val="none" w:sz="0" w:space="0" w:color="auto"/>
            <w:bottom w:val="none" w:sz="0" w:space="0" w:color="auto"/>
            <w:right w:val="none" w:sz="0" w:space="0" w:color="auto"/>
          </w:divBdr>
        </w:div>
      </w:divsChild>
    </w:div>
    <w:div w:id="21358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1660</Words>
  <Characters>9049</Characters>
  <Application>Microsoft Office Word</Application>
  <DocSecurity>0</DocSecurity>
  <Lines>266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nash</dc:creator>
  <cp:keywords/>
  <dc:description/>
  <cp:lastModifiedBy>Microsoft Office User</cp:lastModifiedBy>
  <cp:revision>67</cp:revision>
  <dcterms:created xsi:type="dcterms:W3CDTF">2021-01-09T19:44:00Z</dcterms:created>
  <dcterms:modified xsi:type="dcterms:W3CDTF">2021-01-11T16:03:00Z</dcterms:modified>
</cp:coreProperties>
</file>